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16F71" w14:textId="10BD8958" w:rsidR="00123DEE" w:rsidRDefault="008B53E1">
      <w:r>
        <w:rPr>
          <w:rFonts w:hint="eastAsia"/>
        </w:rPr>
        <w:t>附件：采购清单</w:t>
      </w:r>
    </w:p>
    <w:p w14:paraId="150790C5" w14:textId="5D5C9B05" w:rsidR="008B53E1" w:rsidRPr="00BB0BC8" w:rsidRDefault="00BB0BC8">
      <w:pPr>
        <w:rPr>
          <w:b/>
          <w:color w:val="FF0000"/>
        </w:rPr>
      </w:pPr>
      <w:r>
        <w:rPr>
          <w:b/>
          <w:color w:val="FF0000"/>
        </w:rPr>
        <w:t>注意：</w:t>
      </w:r>
      <w:r>
        <w:rPr>
          <w:rFonts w:hint="eastAsia"/>
          <w:b/>
          <w:color w:val="FF0000"/>
        </w:rPr>
        <w:t>投标文件中的货物单价报价不得超过招标清单所列预算单价，否则将导致投标无效。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687"/>
        <w:gridCol w:w="1800"/>
        <w:gridCol w:w="3751"/>
        <w:gridCol w:w="708"/>
        <w:gridCol w:w="709"/>
        <w:gridCol w:w="992"/>
        <w:gridCol w:w="851"/>
      </w:tblGrid>
      <w:tr w:rsidR="008B53E1" w:rsidRPr="00353792" w14:paraId="37022FB7" w14:textId="77777777" w:rsidTr="00793DCF">
        <w:trPr>
          <w:trHeight w:val="60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38C3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65971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货物名称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244A1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规格或要求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FA2A4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F325C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BE9E3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预算单价（元）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8639C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</w:tr>
      <w:tr w:rsidR="008B53E1" w:rsidRPr="00353792" w14:paraId="2B07E4AA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D435D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E365A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UV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胶水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8064B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品牌：艾必达，型号：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uv28 50ml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63ECC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3B988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14A54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D73FF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0B103492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C1E3B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09A6B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灯珠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0E4AB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品牌：深圳东瑞科技，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12v 2w 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白光，</w:t>
            </w: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裸灯珠</w:t>
            </w:r>
            <w:proofErr w:type="gramEnd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颗一包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1603F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6087C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04E59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A62E2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05FAC43F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D8EEC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0AAF6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公接头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B4DD3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SM2.54 3p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公线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30cm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条）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562CE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C59CC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D9C3C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F7B51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097EEE58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75512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73F26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母接头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E63B6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SM2.54 3p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母线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30cm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条）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3E2E2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3C08E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EFA39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25978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02858B8A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A5DB7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A2038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三脚插头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2C156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PVC 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防摔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/250V/10A/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黄色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公牛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国标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/5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只一盒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FD489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972DF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8AC75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CB702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45097639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6EF5E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9D8DF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二脚插头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1A6D2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PVC 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防摔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公牛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黄两插头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10A/10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只装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9AEE3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72A30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A2053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6BC10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7526C645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93C54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C3144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螺丝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AD3DE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M3*12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250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包）螺杆长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12mm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，螺纹直径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3mm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EE781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4235E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DAF61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DFB19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202CC3AF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13D40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7A794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扎带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49ED2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扎带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4*200</w:t>
            </w: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丨</w:t>
            </w:r>
            <w:proofErr w:type="gramEnd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2.7MM*20CM</w:t>
            </w: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丨</w:t>
            </w:r>
            <w:proofErr w:type="gramEnd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条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DD81F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90496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1DAD6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5369C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356E2A81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BCF36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94521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收纳盒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DB5DE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铭丰腾</w:t>
            </w:r>
            <w:proofErr w:type="gramEnd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龙，新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F01: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外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175*120*56mm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黄壳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6C5F0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45C2F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1594D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BE433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3FFD519B" w14:textId="77777777" w:rsidTr="00793DCF">
        <w:trPr>
          <w:trHeight w:val="49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1769F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090D8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物料箱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19B92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品牌：航能，物流箱加厚大号长方形带盖塑料周转</w:t>
            </w: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箱工厂</w:t>
            </w:r>
            <w:proofErr w:type="gramEnd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转运胶箱家用储物收纳盒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/EU64280*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外：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600*400*280/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灰（翻盖）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9CF23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C33CE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C3841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70E54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196A5CE4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07DC6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6064D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射灯散件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C64B5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大号开孔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6.5cm-7.5cm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白色，全散件，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3w</w:t>
            </w:r>
            <w:r w:rsidRPr="00353792">
              <w:rPr>
                <w:rStyle w:val="ae"/>
                <w:rFonts w:ascii="宋体" w:hAnsi="宋体" w:hint="eastAsia"/>
                <w:sz w:val="18"/>
                <w:szCs w:val="18"/>
              </w:rPr>
              <w:t>，包含：弹簧压片</w:t>
            </w:r>
            <w:r w:rsidRPr="00353792">
              <w:rPr>
                <w:rStyle w:val="ae"/>
                <w:rFonts w:ascii="宋体" w:hAnsi="宋体" w:hint="eastAsia"/>
                <w:sz w:val="18"/>
                <w:szCs w:val="18"/>
              </w:rPr>
              <w:t>2</w:t>
            </w:r>
            <w:r w:rsidRPr="00353792">
              <w:rPr>
                <w:rStyle w:val="ae"/>
                <w:rFonts w:ascii="宋体" w:hAnsi="宋体" w:hint="eastAsia"/>
                <w:sz w:val="18"/>
                <w:szCs w:val="18"/>
              </w:rPr>
              <w:t>片，螺丝</w:t>
            </w:r>
            <w:r w:rsidRPr="00353792">
              <w:rPr>
                <w:rStyle w:val="ae"/>
                <w:rFonts w:ascii="宋体" w:hAnsi="宋体" w:hint="eastAsia"/>
                <w:sz w:val="18"/>
                <w:szCs w:val="18"/>
              </w:rPr>
              <w:t>2</w:t>
            </w:r>
            <w:r w:rsidRPr="00353792">
              <w:rPr>
                <w:rStyle w:val="ae"/>
                <w:rFonts w:ascii="宋体" w:hAnsi="宋体" w:hint="eastAsia"/>
                <w:sz w:val="18"/>
                <w:szCs w:val="18"/>
              </w:rPr>
              <w:t>颗，灯珠</w:t>
            </w:r>
            <w:r w:rsidRPr="00353792">
              <w:rPr>
                <w:rStyle w:val="ae"/>
                <w:rFonts w:ascii="宋体" w:hAnsi="宋体" w:hint="eastAsia"/>
                <w:sz w:val="18"/>
                <w:szCs w:val="18"/>
              </w:rPr>
              <w:t>3</w:t>
            </w:r>
            <w:r w:rsidRPr="00353792">
              <w:rPr>
                <w:rStyle w:val="ae"/>
                <w:rFonts w:ascii="宋体" w:hAnsi="宋体" w:hint="eastAsia"/>
                <w:sz w:val="18"/>
                <w:szCs w:val="18"/>
              </w:rPr>
              <w:t>颗，</w:t>
            </w:r>
            <w:r w:rsidRPr="00353792">
              <w:rPr>
                <w:rStyle w:val="ae"/>
                <w:rFonts w:ascii="宋体" w:hAnsi="宋体" w:hint="eastAsia"/>
                <w:sz w:val="18"/>
                <w:szCs w:val="18"/>
              </w:rPr>
              <w:t>PCB</w:t>
            </w:r>
            <w:r w:rsidRPr="00353792">
              <w:rPr>
                <w:rStyle w:val="ae"/>
                <w:rFonts w:ascii="宋体" w:hAnsi="宋体" w:hint="eastAsia"/>
                <w:sz w:val="18"/>
                <w:szCs w:val="18"/>
              </w:rPr>
              <w:t>板</w:t>
            </w:r>
            <w:r w:rsidRPr="00353792">
              <w:rPr>
                <w:rStyle w:val="ae"/>
                <w:rFonts w:ascii="宋体" w:hAnsi="宋体" w:hint="eastAsia"/>
                <w:sz w:val="18"/>
                <w:szCs w:val="18"/>
              </w:rPr>
              <w:t>1</w:t>
            </w:r>
            <w:r w:rsidRPr="00353792">
              <w:rPr>
                <w:rStyle w:val="ae"/>
                <w:rFonts w:ascii="宋体" w:hAnsi="宋体" w:hint="eastAsia"/>
                <w:sz w:val="18"/>
                <w:szCs w:val="18"/>
              </w:rPr>
              <w:t>片，散热器</w:t>
            </w:r>
            <w:r w:rsidRPr="00353792">
              <w:rPr>
                <w:rStyle w:val="ae"/>
                <w:rFonts w:ascii="宋体" w:hAnsi="宋体" w:hint="eastAsia"/>
                <w:sz w:val="18"/>
                <w:szCs w:val="18"/>
              </w:rPr>
              <w:t>1</w:t>
            </w:r>
            <w:r w:rsidRPr="00353792">
              <w:rPr>
                <w:rStyle w:val="ae"/>
                <w:rFonts w:ascii="宋体" w:hAnsi="宋体" w:hint="eastAsia"/>
                <w:sz w:val="18"/>
                <w:szCs w:val="18"/>
              </w:rPr>
              <w:t>个，外罩</w:t>
            </w:r>
            <w:r w:rsidRPr="00353792">
              <w:rPr>
                <w:rStyle w:val="ae"/>
                <w:rFonts w:ascii="宋体" w:hAnsi="宋体" w:hint="eastAsia"/>
                <w:sz w:val="18"/>
                <w:szCs w:val="18"/>
              </w:rPr>
              <w:t>1</w:t>
            </w:r>
            <w:r w:rsidRPr="00353792">
              <w:rPr>
                <w:rStyle w:val="ae"/>
                <w:rFonts w:ascii="宋体" w:hAnsi="宋体" w:hint="eastAsia"/>
                <w:sz w:val="18"/>
                <w:szCs w:val="18"/>
              </w:rPr>
              <w:t>个，透镜</w:t>
            </w:r>
            <w:r w:rsidRPr="00353792">
              <w:rPr>
                <w:rStyle w:val="ae"/>
                <w:rFonts w:ascii="宋体" w:hAnsi="宋体" w:hint="eastAsia"/>
                <w:sz w:val="18"/>
                <w:szCs w:val="18"/>
              </w:rPr>
              <w:t>1</w:t>
            </w:r>
            <w:r w:rsidRPr="00353792">
              <w:rPr>
                <w:rStyle w:val="ae"/>
                <w:rFonts w:ascii="宋体" w:hAnsi="宋体" w:hint="eastAsia"/>
                <w:sz w:val="18"/>
                <w:szCs w:val="18"/>
              </w:rPr>
              <w:t>个，壳体</w:t>
            </w:r>
            <w:r w:rsidRPr="00353792">
              <w:rPr>
                <w:rStyle w:val="ae"/>
                <w:rFonts w:ascii="宋体" w:hAnsi="宋体" w:hint="eastAsia"/>
                <w:sz w:val="18"/>
                <w:szCs w:val="18"/>
              </w:rPr>
              <w:t>1</w:t>
            </w:r>
            <w:r w:rsidRPr="00353792">
              <w:rPr>
                <w:rStyle w:val="ae"/>
                <w:rFonts w:ascii="宋体" w:hAnsi="宋体" w:hint="eastAsia"/>
                <w:sz w:val="18"/>
                <w:szCs w:val="18"/>
              </w:rPr>
              <w:t>个。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03817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49703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1FA99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79560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5AA33CBD" w14:textId="77777777" w:rsidTr="00793DCF">
        <w:trPr>
          <w:trHeight w:val="49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A6894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AAFC3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幻彩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WS2812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灯珠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595F2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光亿鸿，包邮</w:t>
            </w:r>
            <w:proofErr w:type="gramEnd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3528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反贴幻彩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WS2812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灯珠雾状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6028RGB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内置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IC5V LED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灯珠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/WS2812(3528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反贴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)/100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6310B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43B75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99D6B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8E844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56C2DBBA" w14:textId="77777777" w:rsidTr="00793DCF">
        <w:trPr>
          <w:trHeight w:val="49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DF5CD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B9CD5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线扣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C4550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品牌：劲功，</w:t>
            </w: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带胶自粘贴</w:t>
            </w:r>
            <w:proofErr w:type="gramEnd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式扎带</w:t>
            </w: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固定座</w:t>
            </w:r>
            <w:proofErr w:type="gramEnd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吸盘电线</w:t>
            </w: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收纳卡扣固定</w:t>
            </w:r>
            <w:proofErr w:type="gramEnd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器配线夹</w:t>
            </w: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理线器</w:t>
            </w:r>
            <w:proofErr w:type="gramEnd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HS/20*20</w:t>
            </w: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白色黄胶</w:t>
            </w:r>
            <w:proofErr w:type="gramEnd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(100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BCECC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965EA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7A67C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AD323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62F490B6" w14:textId="77777777" w:rsidTr="00793DCF">
        <w:trPr>
          <w:trHeight w:val="49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44BA2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65041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杜邦线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1B59E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品牌：海雀，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2.54 40P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彩色杜邦线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15cm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母对母纯铜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1265F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9D849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B5730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CB124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2267183F" w14:textId="77777777" w:rsidTr="00793DCF">
        <w:trPr>
          <w:trHeight w:val="49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07FC4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26064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杜邦线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89C2A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品牌：海雀，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2.54 40P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彩色杜邦线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15cm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母对公纯铜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BEE2B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CCBA6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D8C07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1B199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1227841D" w14:textId="77777777" w:rsidTr="00793DCF">
        <w:trPr>
          <w:trHeight w:val="49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9DE4F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26A18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杜邦线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CFC0E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品牌：海雀，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2.54 40P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彩色杜邦线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15cm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公对公纯铜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E56B0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08138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A0EAB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1A157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7F9B90CE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4099B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13435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RV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线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CB83C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品牌：唯康；红色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0.5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平方毫米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100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4AD9E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53561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D9FCF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88C50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74751073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F3470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B5B11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RV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线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185B9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品牌：唯康；黑色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0.5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平方毫米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100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3EF70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55E5F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255AD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DAEBB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3B338A75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507C9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8752C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RV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线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3F9F1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品牌：唯康；黄色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0.5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平方毫米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100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86E0B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24728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094FC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05E04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24DD3B4B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37D86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36168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RV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线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CC9EB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品牌：唯康；蓝色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0.5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平方毫米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100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B0F04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BF3B4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125EA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886EE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6C7BD0AE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87620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88736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透明线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7F76F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品牌：德立东方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参数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3pin 17*0.16*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外径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1.6MM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C4ED6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96F24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9743F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D6942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512C86F1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19CE4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CD66F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树枝剪刀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B209C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品牌：威力狮，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W888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尖嘴枝剪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EFB08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12D23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D5946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6D028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6DAAA177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1A16B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A65DA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焊锡丝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2502F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品牌：山</w:t>
            </w: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崎</w:t>
            </w:r>
            <w:proofErr w:type="gramEnd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，正品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0.6mm-250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克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AFBCE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AFAC9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3A8B1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B6691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0649C846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1356F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BD00C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美工刀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92557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品牌：绿林，【五连发】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A514C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DB085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9A4F9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AC94F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3147A98B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4E079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460E5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斜嘴钳</w:t>
            </w:r>
            <w:proofErr w:type="gramEnd"/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5E9FC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品牌：马牌，日本进口弧面水口</w:t>
            </w: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钳</w:t>
            </w:r>
            <w:proofErr w:type="gramEnd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150mm/PL-716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E5C9C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3B45F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B8957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08694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02D53D75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001CE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1FA2E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镊子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76EFC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品牌：安立信，不锈钢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ST-10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标准尖头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97CD6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6D590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BDB84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12780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2F01F510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370F8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1AE2B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十字螺丝刀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36A74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固万基</w:t>
            </w:r>
            <w:proofErr w:type="gramEnd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，十字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5x100mm[1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7E53D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2542B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3A49B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E7D83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3C2BC7A1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344EB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7F0F8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十字螺丝刀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42ED7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固万基</w:t>
            </w:r>
            <w:proofErr w:type="gramEnd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，十字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3x75mm[2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5B24B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5A5F6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CA97A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EA8BA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1200580D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64014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5423D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剥线钳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B0B7C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品牌：老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；（现货）鸭嘴剥线器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0.2-5mm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4481F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FB051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BF237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7D2D7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63686A55" w14:textId="77777777" w:rsidTr="00793DCF">
        <w:trPr>
          <w:trHeight w:val="746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EAB50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EE592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P4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全彩单元板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9CCC8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品牌：唯康；配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32G USB3.0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内存盘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个；配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DVD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光碟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张；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P4/P4 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室内全彩正方形单元板不少于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块；输入输出采用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HUB75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标准接口，刷新率≥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1920Hz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，灰度等级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14-16bit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，支持逐点校正技术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1FE15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D34FD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67AB7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865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EB025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1D3E3B44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4387D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7E5AE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射灯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32EFD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品牌：唯康；输入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AC220V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，输出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DC12V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3W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E4D3F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6193E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33192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183E8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1DEB3340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46D53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3103F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电路板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32DE8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品牌：唯康；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ESP32/72*170mm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50223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FBEEC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C4524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55504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3FD8E9FD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9EBF3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DB0FA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光照度传感器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B4FA6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品牌：唯康；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RS485/Modbus-RTU/DC12V/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吸顶式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B4B48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3B091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99958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CA9BF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5ADEEAF9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5746F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0CB40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灯条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12B7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品牌：唯康；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LED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全彩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WS2812B/8*8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4E6B9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424CB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45491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D09D5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4148F4D8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92DF2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47CD2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开关电源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57150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品牌：唯康；输入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AC220V,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输出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DC12V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8C8A1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595A9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B780C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91D61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2586E317" w14:textId="77777777" w:rsidTr="00793DCF">
        <w:trPr>
          <w:trHeight w:val="49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5DDCF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B11C8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LED</w:t>
            </w: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幻</w:t>
            </w:r>
            <w:proofErr w:type="gramEnd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彩灯带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61FB8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品牌：唯康，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K1000C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控制灯带，芯片型号：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w2811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，电压：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12V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96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灯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米；尺寸：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6mm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＊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12mm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B8533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1C792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22846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FBF33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420C75F7" w14:textId="77777777" w:rsidTr="00793DCF">
        <w:trPr>
          <w:trHeight w:val="49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2C1D9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3692A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RGB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灯带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64719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品牌：唯康，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USB-DIY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控制灯带，型号：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5050 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，电压：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12V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，尺寸：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6mm*12mm/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硅胶套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四线七彩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RGB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277ED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FA3E1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EADF9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5355A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41B7C37F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66E60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55D6C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控制器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DDE84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品牌：唯康；供电电压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DC5-24V 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路控制器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E1F1C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C2EA5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646A2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094C3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3763CB9C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3C3FE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2AD7A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控制器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62918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品牌：唯康；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K-1000C/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配四个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3P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接线端子，供电电压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DC5-24V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3364B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6940A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A37B3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78F5E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671EEC9D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6FDEF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880A1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摄像头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B9347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品牌：唯康；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H65V1/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带外壳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含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USB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线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/DC5V/3.51mm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焦距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/120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DEF20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B5A6B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892C3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31F27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2A4CE146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82DE2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511B1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电子模块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47DEE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品牌：唯康；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TOF200C/2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/IIC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接口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配排针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FEA01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0FA55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08424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A3D42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6DF6D8D3" w14:textId="77777777" w:rsidTr="00793DCF">
        <w:trPr>
          <w:trHeight w:val="49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AFB2A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27810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3D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打印支架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4D6AD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品牌：唯康；材质：树脂，白色，含摄像头、激光、红外、按钮、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LED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灯等固定支架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,VCOM-3D,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材质：树脂，</w:t>
            </w: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  <w:proofErr w:type="gramEnd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170mm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C9506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DC96C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4D73A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19F3E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28C3E957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9058C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69F1B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木质方块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2A114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品牌：唯康；积木小方块，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3cm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，颜色：橙色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A670B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FBE53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5723D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C39D8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67B917D2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B6839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A46B2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孔板胶粒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6FB65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品牌：唯康；塑料、透明网孔板固定胶粒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73EA4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AD119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49CC7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F38F6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0A89A15B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3C734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DEFA7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卡扣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FCABC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品牌：唯康；适用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6*12mm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灯带，开口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5.4mm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16BCF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1B20D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86C00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3F638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7C991E09" w14:textId="77777777" w:rsidTr="00793DCF">
        <w:trPr>
          <w:trHeight w:val="746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FDFD2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A6B3B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信息模块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09E82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、品牌：唯康；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6A</w:t>
            </w: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类免打</w:t>
            </w:r>
            <w:proofErr w:type="gramEnd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线式屏蔽信息模块（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6A</w:t>
            </w: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类双屏蔽</w:t>
            </w:r>
            <w:proofErr w:type="gramEnd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信道与永久链路）；</w:t>
            </w:r>
          </w:p>
          <w:p w14:paraId="673DC687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 w:rsidRPr="00353792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、检测要求：</w:t>
            </w:r>
          </w:p>
          <w:p w14:paraId="47F61910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lastRenderedPageBreak/>
              <w:t>投标文件中须附具备</w:t>
            </w:r>
            <w:r w:rsidRPr="00353792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 CMA</w:t>
            </w:r>
            <w:r w:rsidRPr="00353792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（中国计量认证）或</w:t>
            </w:r>
            <w:r w:rsidRPr="00353792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 CNAS</w:t>
            </w:r>
            <w:r w:rsidRPr="00353792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（中国合格评定国家认可委员会）资质的第三方检测机构出具的检测报告复印件。</w:t>
            </w:r>
            <w:r w:rsidRPr="00353792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br/>
            </w:r>
            <w:r w:rsidRPr="00353792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检测报告应覆盖以下技术指标，且应符合下列国家标准：</w:t>
            </w:r>
            <w:r w:rsidRPr="00353792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br/>
            </w:r>
            <w:r w:rsidRPr="00353792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 w:rsidRPr="00353792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）超六类信道：直流环阻、直流电阻不平衡、传播时延、时延差、插入损耗、近端串音衰减、近端串音衰减功率和等的合格检查报告。</w:t>
            </w:r>
          </w:p>
          <w:p w14:paraId="472C437E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 w:rsidRPr="00353792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）超六类永久链路：近端串音衰减、近端串音衰减功率和、衰减远端串音比、衰减远端串音比功率和、回波损耗等的合格检测报告。</w:t>
            </w:r>
            <w:r w:rsidRPr="00353792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br/>
            </w:r>
            <w:r w:rsidRPr="0035379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（未提供或无法判断是否满足需求的将导致投标无效）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619F6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E9609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E9C6F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3F48A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436CAD53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23030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F7116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双绞线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2360E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品牌：唯康；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6A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类铝箔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+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编织网屏蔽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单股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S-FTP/23AWG/4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proofErr w:type="gramStart"/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赛专用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0817D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4806A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F1A7A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7AE76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3A142B29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2156E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CF35A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光纤热缩套管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0AE18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光纤热缩管不锈钢针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60mm 1000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3A5DD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ECC47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F9416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0F718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174659D5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89CC3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2A8A6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抽屉式光纤配线架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CD0E8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品牌：唯康；带轨道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/48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芯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满配（法兰盘，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LC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双工耦合器）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71DA3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8C963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2A644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16D99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22664199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0EC4B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5974B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ODF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箱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9EBDE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品牌：唯康；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芯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满配（法兰盘，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LC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双工耦合器，透明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A7DDE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B5570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96E78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FE80F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79BEAF7B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F3C42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79A3A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室外光缆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46C47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品牌：唯康；室外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/48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芯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/B1.3-G652.D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单模光纤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AA507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9D117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72723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54401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5552377B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EE8B6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25EAB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室外光缆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683B6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品牌：唯康；室外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/24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芯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/B1.1-G652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单模光纤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7C2CC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8D23F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66EF6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BB66C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37E04EF2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75967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D9796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室内光缆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D4728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品牌：唯康；室内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/12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芯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/B1.1-G652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单模光纤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FB86D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300D9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430BE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EAD6E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2C1819FD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168AA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917EC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信息模块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7B497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唯康，超五类免打线式信息模块（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A1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7E870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CD385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B966C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65F70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45F10976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9D1A2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BFBB6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皮线光缆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43003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G657A2 1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芯单模（金属加强芯、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LSZH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护套、蝶形、黑色）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2B416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39765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3CAA5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1E453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77DCFC8F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4CE61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E4944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冷接子</w:t>
            </w:r>
            <w:proofErr w:type="gramEnd"/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D6A01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品牌：</w:t>
            </w:r>
            <w:proofErr w:type="gramStart"/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丰应子</w:t>
            </w:r>
            <w:proofErr w:type="gramEnd"/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proofErr w:type="gramStart"/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光纤冷接子</w:t>
            </w:r>
            <w:proofErr w:type="gramEnd"/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879F6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BA4CB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DABBB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1F04F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53806682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1EF6F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B6E55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冷接子</w:t>
            </w:r>
            <w:proofErr w:type="gramEnd"/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49A35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品牌：</w:t>
            </w:r>
            <w:proofErr w:type="gramStart"/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丰应子</w:t>
            </w:r>
            <w:proofErr w:type="gramEnd"/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proofErr w:type="gramStart"/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光纤冷接子</w:t>
            </w:r>
            <w:proofErr w:type="gramEnd"/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CA93D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555A9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41FB1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0A755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729281C4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96203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216A9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粘米粉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C17C1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500g/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水磨粘米粉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81017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E3F6A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37F20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0E29E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72420452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92925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C74D8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手套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B3471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一次性丁晴手套</w:t>
            </w:r>
            <w:proofErr w:type="gramEnd"/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7D92D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34C37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FD504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BB7AC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19A715ED" w14:textId="77777777" w:rsidTr="00793DCF">
        <w:trPr>
          <w:trHeight w:val="49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CAF87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6C40F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折叠工具夹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C2A25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整体尺寸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605*635*780mm</w:t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；可通过摇杆自由控制宽度；带有固定夹子与刻度尺；带有工具插孔；</w:t>
            </w:r>
            <w:r w:rsidRPr="0035379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参考图片：</w:t>
            </w:r>
          </w:p>
          <w:p w14:paraId="3B59BE36" w14:textId="2E994ED6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/>
                <w:noProof/>
                <w:sz w:val="18"/>
                <w:szCs w:val="18"/>
              </w:rPr>
              <w:drawing>
                <wp:inline distT="0" distB="0" distL="0" distR="0" wp14:anchorId="7A22C1F8" wp14:editId="6C3FC3B2">
                  <wp:extent cx="766445" cy="778510"/>
                  <wp:effectExtent l="0" t="0" r="0" b="2540"/>
                  <wp:docPr id="114558737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45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2DF40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B9EF3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D9E21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82743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6E90EA28" w14:textId="77777777" w:rsidTr="00793DCF">
        <w:trPr>
          <w:trHeight w:val="49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0DDBE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7A826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光纤跳线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AA9C0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品牌：诺可信（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Nokoxin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）；</w:t>
            </w: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电信级</w:t>
            </w:r>
            <w:proofErr w:type="gramEnd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光纤跳线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千兆万兆</w:t>
            </w: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铠装尾纤</w:t>
            </w:r>
            <w:proofErr w:type="gramEnd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线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单模双芯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LC-LC 3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EEC76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2502C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A71A4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66942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33C2BA0E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3F0EC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E7942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耦合器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EA58E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品牌：诺可信（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Nokoxin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）；耦合器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LC-LC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双工法兰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2047E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30954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98DCB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17A04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37A47AEB" w14:textId="77777777" w:rsidTr="00793DCF">
        <w:trPr>
          <w:trHeight w:val="49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87351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CC829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光纤冷接子</w:t>
            </w:r>
            <w:proofErr w:type="gramEnd"/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7AFA7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科路士</w:t>
            </w:r>
            <w:proofErr w:type="gramEnd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电信级</w:t>
            </w:r>
            <w:proofErr w:type="gramEnd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FTTH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光纤入户预埋式翘尾型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SC/UPC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光纤</w:t>
            </w: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冷接子冷接</w:t>
            </w:r>
            <w:proofErr w:type="gramEnd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头皮线光缆尾</w:t>
            </w: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纤</w:t>
            </w:r>
            <w:proofErr w:type="gramEnd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裸</w:t>
            </w: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纤</w:t>
            </w:r>
            <w:proofErr w:type="gramEnd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快速连接器方头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LC/UPC</w:t>
            </w: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冷接子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A5C94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E7B7A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3A567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D2F17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7962F410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C62FC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E40AD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六类网线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41299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品牌：山泽；六类网线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8</w:t>
            </w: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芯双绞</w:t>
            </w:r>
            <w:proofErr w:type="gramEnd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金属屏蔽头成品跳线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黑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GWD6030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A6B0B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981AE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0AD47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4580E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3722FEF6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A07FD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1709E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配线架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A32F7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品牌：唯康；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6A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类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口模块化配线架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PPS246A-MR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21834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76100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11C3B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4FE78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678365D6" w14:textId="77777777" w:rsidTr="00793DCF">
        <w:trPr>
          <w:trHeight w:val="49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BF424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1DB92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小扎带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16FB8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GEIYURIC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；尼龙扎带自锁式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3mm3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毫米宽国标白色塑料扎带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3*100mm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根）宽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7AD19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88E53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AB8B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9BF79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7AB0C396" w14:textId="77777777" w:rsidTr="00793DCF">
        <w:trPr>
          <w:trHeight w:val="49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6BDA0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578C4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光纤透明保护管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6E8A4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品牌：瑞</w:t>
            </w: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威；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芯裸</w:t>
            </w: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纤保护管盒热</w:t>
            </w:r>
            <w:proofErr w:type="gramEnd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缩管护</w:t>
            </w: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纤</w:t>
            </w:r>
            <w:proofErr w:type="gramEnd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ODF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配线架带状光纤保护管塑料管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裸</w:t>
            </w: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纤</w:t>
            </w:r>
            <w:proofErr w:type="gramEnd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保护管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4mmX 5mm 100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7DBEE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D1911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798B1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966FE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7277C689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C3CDD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7CF5E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清洁扫把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AFDE6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妍</w:t>
            </w:r>
            <w:proofErr w:type="gramEnd"/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林；迷你扫把簸箕套装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高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21CM,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宽</w:t>
            </w: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15.5CM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B359A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40EA4" w14:textId="77777777" w:rsidR="008B53E1" w:rsidRPr="00353792" w:rsidRDefault="008B53E1" w:rsidP="00793DC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27E2B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F3A98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53E1" w:rsidRPr="00353792" w14:paraId="278F3173" w14:textId="77777777" w:rsidTr="00793DCF">
        <w:trPr>
          <w:trHeight w:val="283"/>
        </w:trPr>
        <w:tc>
          <w:tcPr>
            <w:tcW w:w="86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87691" w14:textId="77777777" w:rsidR="008B53E1" w:rsidRPr="00353792" w:rsidRDefault="008B53E1" w:rsidP="00793DCF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537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合计（元）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9A22B" w14:textId="77777777" w:rsidR="008B53E1" w:rsidRPr="00353792" w:rsidRDefault="008B53E1" w:rsidP="00793D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8B53E1" w:rsidRPr="00353792" w14:paraId="6BD23035" w14:textId="77777777" w:rsidTr="00793DCF">
        <w:trPr>
          <w:trHeight w:val="283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68DCEC" w14:textId="77777777" w:rsidR="008B53E1" w:rsidRPr="00353792" w:rsidRDefault="008B53E1" w:rsidP="00793DC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F022E6" w14:textId="77777777" w:rsidR="008B53E1" w:rsidRPr="00353792" w:rsidRDefault="008B53E1" w:rsidP="00793DCF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77B13D" w14:textId="77777777" w:rsidR="008B53E1" w:rsidRPr="00353792" w:rsidRDefault="008B53E1" w:rsidP="00793DCF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D74947" w14:textId="77777777" w:rsidR="008B53E1" w:rsidRPr="00353792" w:rsidRDefault="008B53E1" w:rsidP="00793DCF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22F3A5" w14:textId="77777777" w:rsidR="008B53E1" w:rsidRPr="00353792" w:rsidRDefault="008B53E1" w:rsidP="00793DCF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E9EC64" w14:textId="77777777" w:rsidR="008B53E1" w:rsidRPr="00353792" w:rsidRDefault="008B53E1" w:rsidP="00793DCF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1E7DF0" w14:textId="77777777" w:rsidR="008B53E1" w:rsidRPr="00353792" w:rsidRDefault="008B53E1" w:rsidP="00793DCF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 w14:paraId="48518331" w14:textId="77777777" w:rsidR="008B53E1" w:rsidRDefault="008B53E1">
      <w:pPr>
        <w:rPr>
          <w:rFonts w:hint="eastAsia"/>
        </w:rPr>
      </w:pPr>
    </w:p>
    <w:sectPr w:rsidR="008B5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E1"/>
    <w:rsid w:val="00123DEE"/>
    <w:rsid w:val="008B53E1"/>
    <w:rsid w:val="00BA465F"/>
    <w:rsid w:val="00BB0BC8"/>
    <w:rsid w:val="00F6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E5875"/>
  <w15:chartTrackingRefBased/>
  <w15:docId w15:val="{0733E1F7-66DB-41E6-AB3A-B861BD57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5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3E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3E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3E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3E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3E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3E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3E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3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3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3E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3E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B53E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3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3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3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3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3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3E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B53E1"/>
    <w:rPr>
      <w:b/>
      <w:bCs/>
      <w:smallCaps/>
      <w:color w:val="0F4761" w:themeColor="accent1" w:themeShade="BF"/>
      <w:spacing w:val="5"/>
    </w:rPr>
  </w:style>
  <w:style w:type="character" w:styleId="ae">
    <w:name w:val="annotation reference"/>
    <w:rsid w:val="008B53E1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Mixson515</dc:creator>
  <cp:keywords/>
  <dc:description/>
  <cp:lastModifiedBy>Mixson515</cp:lastModifiedBy>
  <cp:revision>2</cp:revision>
  <dcterms:created xsi:type="dcterms:W3CDTF">2025-08-11T08:21:00Z</dcterms:created>
  <dcterms:modified xsi:type="dcterms:W3CDTF">2025-08-11T08:22:00Z</dcterms:modified>
</cp:coreProperties>
</file>