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09BAC">
      <w:pPr>
        <w:pStyle w:val="4"/>
        <w:rPr>
          <w:rFonts w:hint="default" w:eastAsiaTheme="majorEastAsia"/>
          <w:lang w:val="en-US" w:eastAsia="zh-CN"/>
        </w:rPr>
      </w:pPr>
      <w:r>
        <w:rPr>
          <w:rFonts w:hint="eastAsia"/>
        </w:rPr>
        <w:t>转专业管理操作手册</w:t>
      </w:r>
      <w:r>
        <w:rPr>
          <w:rFonts w:hint="eastAsia"/>
          <w:lang w:val="en-US" w:eastAsia="zh-CN"/>
        </w:rPr>
        <w:t>1(转出)</w:t>
      </w:r>
    </w:p>
    <w:p w14:paraId="5940C8CF">
      <w:pPr>
        <w:pStyle w:val="2"/>
        <w:numPr>
          <w:ilvl w:val="0"/>
          <w:numId w:val="1"/>
        </w:numPr>
        <w:ind w:left="425" w:hanging="425"/>
        <w:rPr>
          <w:rFonts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登录系统</w:t>
      </w:r>
    </w:p>
    <w:p w14:paraId="2564974D">
      <w:pPr>
        <w:pStyle w:val="3"/>
        <w:numPr>
          <w:ilvl w:val="1"/>
          <w:numId w:val="2"/>
        </w:numPr>
      </w:pPr>
      <w:r>
        <w:rPr>
          <w:rFonts w:hint="eastAsia"/>
        </w:rPr>
        <w:t>系统使用环境说明</w:t>
      </w:r>
    </w:p>
    <w:p w14:paraId="1F0D203E">
      <w:pPr>
        <w:ind w:firstLine="315" w:firstLineChars="150"/>
        <w:rPr>
          <w:rFonts w:ascii="宋体" w:hAnsi="宋体"/>
          <w:color w:val="FF0000"/>
          <w:szCs w:val="21"/>
        </w:rPr>
      </w:pPr>
      <w:r>
        <w:rPr>
          <w:rFonts w:hint="eastAsia" w:ascii="宋体" w:hAnsi="宋体"/>
          <w:color w:val="FF0000"/>
          <w:szCs w:val="21"/>
        </w:rPr>
        <w:t>推荐使用Google Chrome浏览器，或使用360浏览器（极速模式）、高版本的IE浏览器。</w:t>
      </w:r>
    </w:p>
    <w:p w14:paraId="559AB800">
      <w:pPr>
        <w:tabs>
          <w:tab w:val="left" w:pos="2670"/>
        </w:tabs>
        <w:jc w:val="center"/>
        <w:rPr>
          <w:rFonts w:ascii="宋体" w:hAnsi="宋体"/>
          <w:color w:val="FF0000"/>
          <w:szCs w:val="21"/>
        </w:rPr>
      </w:pPr>
      <w:r>
        <w:rPr>
          <w:rFonts w:hint="eastAsia" w:ascii="宋体" w:hAnsi="宋体"/>
          <w:color w:val="FF0000"/>
          <w:szCs w:val="21"/>
        </w:rPr>
        <w:t>Google Chrome浏览器：</w:t>
      </w:r>
    </w:p>
    <w:p w14:paraId="2B91AACC">
      <w:pPr>
        <w:jc w:val="center"/>
        <w:rPr>
          <w:rFonts w:ascii="宋体" w:hAnsi="宋体"/>
          <w:color w:val="FF0000"/>
          <w:szCs w:val="21"/>
        </w:rPr>
      </w:pPr>
      <w:r>
        <w:rPr>
          <w:rFonts w:ascii="宋体" w:hAnsi="宋体"/>
          <w:color w:val="FF0000"/>
          <w:szCs w:val="21"/>
        </w:rPr>
        <w:drawing>
          <wp:inline distT="0" distB="0" distL="0" distR="0">
            <wp:extent cx="742950" cy="657225"/>
            <wp:effectExtent l="0" t="0" r="6350" b="3175"/>
            <wp:docPr id="4" name="图片 4" descr="15529820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52982011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222F0">
      <w:pPr>
        <w:jc w:val="center"/>
        <w:rPr>
          <w:rFonts w:ascii="宋体" w:hAnsi="宋体"/>
          <w:b/>
          <w:color w:val="FF0000"/>
          <w:szCs w:val="21"/>
        </w:rPr>
      </w:pPr>
      <w:r>
        <w:rPr>
          <w:rFonts w:hint="eastAsia" w:ascii="宋体" w:hAnsi="宋体"/>
          <w:b/>
          <w:color w:val="FF0000"/>
          <w:szCs w:val="21"/>
        </w:rPr>
        <w:t>360浏览器（极速模式）：</w:t>
      </w:r>
    </w:p>
    <w:p w14:paraId="001307F7">
      <w:pPr>
        <w:jc w:val="center"/>
        <w:rPr>
          <w:rFonts w:ascii="宋体" w:hAnsi="宋体"/>
          <w:b/>
          <w:color w:val="FF0000"/>
          <w:szCs w:val="21"/>
        </w:rPr>
      </w:pPr>
      <w:r>
        <w:drawing>
          <wp:inline distT="0" distB="0" distL="0" distR="0">
            <wp:extent cx="828675" cy="82867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539BD">
      <w:pPr>
        <w:pStyle w:val="3"/>
        <w:numPr>
          <w:ilvl w:val="1"/>
          <w:numId w:val="2"/>
        </w:numPr>
      </w:pPr>
      <w:r>
        <w:rPr>
          <w:rFonts w:hint="eastAsia"/>
        </w:rPr>
        <w:t>电脑端系统登录</w:t>
      </w:r>
    </w:p>
    <w:p w14:paraId="3024EB8B">
      <w:pPr>
        <w:ind w:firstLine="420"/>
      </w:pPr>
      <w:r>
        <w:rPr>
          <w:rFonts w:hint="eastAsia"/>
        </w:rPr>
        <w:t>通过https://jwxt.szcp.edu.cn/网址进入，使用学校统一身份认证账号登录。</w:t>
      </w:r>
    </w:p>
    <w:p w14:paraId="136CF98F">
      <w:pPr>
        <w:ind w:firstLine="420"/>
      </w:pPr>
      <w:r>
        <w:drawing>
          <wp:inline distT="0" distB="0" distL="0" distR="0">
            <wp:extent cx="5274310" cy="2781300"/>
            <wp:effectExtent l="0" t="0" r="8890" b="0"/>
            <wp:docPr id="17554045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404554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95044">
      <w:pPr>
        <w:ind w:firstLine="420"/>
        <w:rPr>
          <w:rFonts w:asciiTheme="majorEastAsia" w:hAnsiTheme="majorEastAsia" w:eastAsiaTheme="majorEastAsia" w:cstheme="majorEastAsia"/>
          <w:sz w:val="36"/>
          <w:szCs w:val="36"/>
        </w:rPr>
      </w:pPr>
      <w:r>
        <w:drawing>
          <wp:inline distT="0" distB="0" distL="0" distR="0">
            <wp:extent cx="5274310" cy="2771775"/>
            <wp:effectExtent l="0" t="0" r="8890" b="9525"/>
            <wp:docPr id="20435905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590522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E3145"/>
    <w:p w14:paraId="72175320"/>
    <w:p w14:paraId="30B7D272"/>
    <w:p w14:paraId="0D8A4C27">
      <w:pPr>
        <w:pStyle w:val="2"/>
        <w:numPr>
          <w:ilvl w:val="0"/>
          <w:numId w:val="1"/>
        </w:numPr>
        <w:ind w:left="425" w:hanging="425"/>
        <w:rPr>
          <w:rFonts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转专业转出院系审核</w:t>
      </w:r>
    </w:p>
    <w:p w14:paraId="06B2F247">
      <w:pPr>
        <w:widowControl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000000"/>
          <w:kern w:val="0"/>
          <w:szCs w:val="21"/>
        </w:rPr>
        <w:t>当学生报名结束之后，须先由学生原专业的</w:t>
      </w:r>
      <w:r>
        <w:rPr>
          <w:rFonts w:hint="eastAsia" w:cs="宋体" w:asciiTheme="minorEastAsia" w:hAnsiTheme="minorEastAsia"/>
          <w:color w:val="000000"/>
          <w:kern w:val="0"/>
          <w:szCs w:val="21"/>
          <w:lang w:val="en-US" w:eastAsia="zh-CN"/>
        </w:rPr>
        <w:t>所在学院的院长、副院长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 xml:space="preserve">初步审核。 </w:t>
      </w:r>
    </w:p>
    <w:p w14:paraId="2E40CADB">
      <w:pPr>
        <w:widowControl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000000"/>
          <w:kern w:val="0"/>
          <w:szCs w:val="21"/>
        </w:rPr>
        <w:t>注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 xml:space="preserve">：转专业报名未结束前不可进行审核。 </w:t>
      </w:r>
    </w:p>
    <w:p w14:paraId="04E37B1D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步骤一： 点击顶部标签栏【学籍】，再点击左侧导航栏【转专业管理】下的【转专业转出院系审核】。进入到右侧转专业转出院系审核页面。</w:t>
      </w:r>
    </w:p>
    <w:p w14:paraId="0312D78A">
      <w:pPr>
        <w:rPr>
          <w:rFonts w:asciiTheme="minorEastAsia" w:hAnsiTheme="minorEastAsia"/>
          <w:b/>
          <w:bCs/>
          <w:sz w:val="28"/>
          <w:szCs w:val="28"/>
        </w:rPr>
      </w:pPr>
      <w:r>
        <w:drawing>
          <wp:inline distT="0" distB="0" distL="0" distR="0">
            <wp:extent cx="5274310" cy="2274570"/>
            <wp:effectExtent l="0" t="0" r="8890" b="11430"/>
            <wp:docPr id="16274944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49445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00172">
      <w:pPr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</w:rPr>
        <w:t>步骤二：点击【待审核】标题栏进入待审核页面。</w:t>
      </w:r>
    </w:p>
    <w:p w14:paraId="64FAA9EE">
      <w:pPr>
        <w:widowControl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Cs w:val="21"/>
        </w:rPr>
        <w:t>（1）方式一：直接点击操作列的“审核通过</w:t>
      </w:r>
      <w:r>
        <w:rPr>
          <w:rFonts w:hint="eastAsia" w:cs="Times New Roman" w:asciiTheme="minorEastAsia" w:hAnsiTheme="minorEastAsia"/>
          <w:kern w:val="0"/>
          <w:szCs w:val="21"/>
        </w:rPr>
        <w:t>/</w:t>
      </w:r>
      <w:r>
        <w:rPr>
          <w:rFonts w:hint="eastAsia" w:cs="宋体" w:asciiTheme="minorEastAsia" w:hAnsiTheme="minorEastAsia"/>
          <w:kern w:val="0"/>
          <w:szCs w:val="21"/>
        </w:rPr>
        <w:t>审核不通过”按钮可以进行单个操作。</w:t>
      </w:r>
    </w:p>
    <w:p w14:paraId="013A44D3">
      <w:pPr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Cs w:val="21"/>
        </w:rPr>
        <w:t>（2）方式二：勾选学生后点击“审核通过”或“审核不通过”可以进行批量审核。</w:t>
      </w:r>
    </w:p>
    <w:p w14:paraId="080DAFE3">
      <w:r>
        <w:drawing>
          <wp:inline distT="0" distB="0" distL="0" distR="0">
            <wp:extent cx="5274310" cy="2274570"/>
            <wp:effectExtent l="0" t="0" r="8890" b="11430"/>
            <wp:docPr id="15901061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10619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9929E">
      <w:pPr>
        <w:bidi w:val="0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 w14:paraId="0CCE3E1C">
      <w:pPr>
        <w:bidi w:val="0"/>
        <w:rPr>
          <w:lang w:val="en-US" w:eastAsia="zh-CN"/>
        </w:rPr>
      </w:pPr>
    </w:p>
    <w:p w14:paraId="3AD9C0DE">
      <w:pPr>
        <w:bidi w:val="0"/>
        <w:rPr>
          <w:lang w:val="en-US" w:eastAsia="zh-CN"/>
        </w:rPr>
      </w:pPr>
    </w:p>
    <w:p w14:paraId="4EE88E19">
      <w:pPr>
        <w:bidi w:val="0"/>
        <w:rPr>
          <w:lang w:val="en-US" w:eastAsia="zh-CN"/>
        </w:rPr>
      </w:pPr>
    </w:p>
    <w:p w14:paraId="1EEE7903">
      <w:pPr>
        <w:bidi w:val="0"/>
        <w:rPr>
          <w:lang w:val="en-US" w:eastAsia="zh-CN"/>
        </w:rPr>
      </w:pPr>
    </w:p>
    <w:p w14:paraId="60AF3C8D">
      <w:pPr>
        <w:bidi w:val="0"/>
        <w:rPr>
          <w:lang w:val="en-US" w:eastAsia="zh-CN"/>
        </w:rPr>
      </w:pPr>
    </w:p>
    <w:p w14:paraId="5DE9C227">
      <w:pPr>
        <w:bidi w:val="0"/>
        <w:rPr>
          <w:lang w:val="en-US" w:eastAsia="zh-CN"/>
        </w:rPr>
      </w:pPr>
    </w:p>
    <w:p w14:paraId="2D60B3B6">
      <w:pPr>
        <w:bidi w:val="0"/>
        <w:rPr>
          <w:lang w:val="en-US" w:eastAsia="zh-CN"/>
        </w:rPr>
      </w:pPr>
    </w:p>
    <w:p w14:paraId="088CB567">
      <w:pPr>
        <w:bidi w:val="0"/>
        <w:rPr>
          <w:lang w:val="en-US" w:eastAsia="zh-CN"/>
        </w:rPr>
      </w:pPr>
    </w:p>
    <w:p w14:paraId="09864269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392FA10B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090AC68A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79752359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70FEDCB9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2ED9511F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7E6CCB8A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446EB49A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58D80904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6B05737F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10DFED6B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447B92D2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0C8C8CCE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72DB7BA2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0CE1F176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4DF5B85C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24198F2C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180FD3F0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5AEB72E6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45125EA4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101364BC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4FB0C31E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0572CB7F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p w14:paraId="03791E5B">
      <w:pPr>
        <w:rPr>
          <w:rFonts w:hint="eastAsia"/>
        </w:rPr>
      </w:pPr>
      <w:r>
        <w:drawing>
          <wp:inline distT="0" distB="0" distL="0" distR="0">
            <wp:extent cx="5274310" cy="2274570"/>
            <wp:effectExtent l="0" t="0" r="2540" b="11430"/>
            <wp:docPr id="8317901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79017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B7D17">
      <w:pPr>
        <w:rPr>
          <w:rFonts w:ascii="微软雅黑" w:hAnsi="微软雅黑" w:eastAsia="微软雅黑"/>
        </w:rPr>
      </w:pPr>
    </w:p>
    <w:p w14:paraId="5338B9F1"/>
    <w:p w14:paraId="63B713F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23D5382F">
      <w:pPr>
        <w:pStyle w:val="4"/>
        <w:rPr>
          <w:rFonts w:hint="default" w:eastAsiaTheme="majorEastAsia"/>
          <w:lang w:val="en-US" w:eastAsia="zh-CN"/>
        </w:rPr>
      </w:pPr>
      <w:r>
        <w:rPr>
          <w:rFonts w:hint="eastAsia"/>
        </w:rPr>
        <w:t xml:space="preserve"> 转专业管理操作手册</w:t>
      </w:r>
      <w:r>
        <w:rPr>
          <w:rFonts w:hint="eastAsia"/>
          <w:lang w:val="en-US" w:eastAsia="zh-CN"/>
        </w:rPr>
        <w:t>2(转入)</w:t>
      </w:r>
    </w:p>
    <w:p w14:paraId="110F6D29">
      <w:pPr>
        <w:pStyle w:val="2"/>
        <w:numPr>
          <w:ilvl w:val="0"/>
          <w:numId w:val="1"/>
        </w:numPr>
        <w:ind w:left="425" w:hanging="425"/>
        <w:rPr>
          <w:rFonts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登录系统</w:t>
      </w:r>
      <w:bookmarkStart w:id="0" w:name="_GoBack"/>
      <w:bookmarkEnd w:id="0"/>
    </w:p>
    <w:p w14:paraId="0FBF8767">
      <w:pPr>
        <w:pStyle w:val="3"/>
        <w:numPr>
          <w:ilvl w:val="1"/>
          <w:numId w:val="2"/>
        </w:numPr>
      </w:pPr>
      <w:r>
        <w:rPr>
          <w:rFonts w:hint="eastAsia"/>
        </w:rPr>
        <w:t>系统使用环境说明</w:t>
      </w:r>
    </w:p>
    <w:p w14:paraId="173CD169">
      <w:pPr>
        <w:ind w:firstLine="315" w:firstLineChars="150"/>
        <w:rPr>
          <w:rFonts w:ascii="宋体" w:hAnsi="宋体"/>
          <w:color w:val="FF0000"/>
          <w:szCs w:val="21"/>
        </w:rPr>
      </w:pPr>
      <w:r>
        <w:rPr>
          <w:rFonts w:hint="eastAsia" w:ascii="宋体" w:hAnsi="宋体"/>
          <w:color w:val="FF0000"/>
          <w:szCs w:val="21"/>
        </w:rPr>
        <w:t>推荐使用Google Chrome浏览器，或使用360浏览器（极速模式）、高版本的IE浏览器。</w:t>
      </w:r>
    </w:p>
    <w:p w14:paraId="1ACC81C6">
      <w:pPr>
        <w:tabs>
          <w:tab w:val="left" w:pos="2670"/>
        </w:tabs>
        <w:jc w:val="center"/>
        <w:rPr>
          <w:rFonts w:ascii="宋体" w:hAnsi="宋体"/>
          <w:color w:val="FF0000"/>
          <w:szCs w:val="21"/>
        </w:rPr>
      </w:pPr>
      <w:r>
        <w:rPr>
          <w:rFonts w:hint="eastAsia" w:ascii="宋体" w:hAnsi="宋体"/>
          <w:color w:val="FF0000"/>
          <w:szCs w:val="21"/>
        </w:rPr>
        <w:t>Google Chrome浏览器：</w:t>
      </w:r>
    </w:p>
    <w:p w14:paraId="03C7EA6C">
      <w:pPr>
        <w:jc w:val="center"/>
        <w:rPr>
          <w:rFonts w:ascii="宋体" w:hAnsi="宋体"/>
          <w:color w:val="FF0000"/>
          <w:szCs w:val="21"/>
        </w:rPr>
      </w:pPr>
      <w:r>
        <w:rPr>
          <w:rFonts w:ascii="宋体" w:hAnsi="宋体"/>
          <w:color w:val="FF0000"/>
          <w:szCs w:val="21"/>
        </w:rPr>
        <w:drawing>
          <wp:inline distT="0" distB="0" distL="0" distR="0">
            <wp:extent cx="742950" cy="657225"/>
            <wp:effectExtent l="0" t="0" r="0" b="9525"/>
            <wp:docPr id="1" name="图片 1" descr="15529820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52982011(1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1ABDF">
      <w:pPr>
        <w:jc w:val="center"/>
        <w:rPr>
          <w:rFonts w:ascii="宋体" w:hAnsi="宋体"/>
          <w:b/>
          <w:color w:val="FF0000"/>
          <w:szCs w:val="21"/>
        </w:rPr>
      </w:pPr>
      <w:r>
        <w:rPr>
          <w:rFonts w:hint="eastAsia" w:ascii="宋体" w:hAnsi="宋体"/>
          <w:b/>
          <w:color w:val="FF0000"/>
          <w:szCs w:val="21"/>
        </w:rPr>
        <w:t>360浏览器（极速模式）：</w:t>
      </w:r>
    </w:p>
    <w:p w14:paraId="5B7B47BC">
      <w:pPr>
        <w:jc w:val="center"/>
        <w:rPr>
          <w:rFonts w:ascii="宋体" w:hAnsi="宋体"/>
          <w:b/>
          <w:color w:val="FF0000"/>
          <w:szCs w:val="21"/>
        </w:rPr>
      </w:pPr>
      <w:r>
        <w:drawing>
          <wp:inline distT="0" distB="0" distL="0" distR="0">
            <wp:extent cx="828675" cy="8286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F4A4A">
      <w:pPr>
        <w:pStyle w:val="3"/>
        <w:numPr>
          <w:ilvl w:val="1"/>
          <w:numId w:val="2"/>
        </w:numPr>
      </w:pPr>
      <w:r>
        <w:rPr>
          <w:rFonts w:hint="eastAsia"/>
        </w:rPr>
        <w:t>电脑端系统登录</w:t>
      </w:r>
    </w:p>
    <w:p w14:paraId="4D6D3297">
      <w:pPr>
        <w:ind w:firstLine="420"/>
      </w:pPr>
      <w:r>
        <w:rPr>
          <w:rFonts w:hint="eastAsia"/>
        </w:rPr>
        <w:t>通过https://jwxt.szcp.edu.cn/网址进入，使用学校统一身份认证账号登录。</w:t>
      </w:r>
    </w:p>
    <w:p w14:paraId="5F216CCC">
      <w:pPr>
        <w:ind w:firstLine="420"/>
      </w:pPr>
      <w:r>
        <w:drawing>
          <wp:inline distT="0" distB="0" distL="0" distR="0">
            <wp:extent cx="5274310" cy="2781300"/>
            <wp:effectExtent l="0" t="0" r="254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E900E">
      <w:pPr>
        <w:ind w:firstLine="420"/>
      </w:pPr>
      <w:r>
        <w:drawing>
          <wp:inline distT="0" distB="0" distL="0" distR="0">
            <wp:extent cx="5274310" cy="2771775"/>
            <wp:effectExtent l="0" t="0" r="2540" b="952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A693AD">
      <w:pPr>
        <w:pStyle w:val="2"/>
        <w:numPr>
          <w:ilvl w:val="0"/>
          <w:numId w:val="1"/>
        </w:numPr>
        <w:ind w:left="425" w:hanging="425"/>
        <w:rPr>
          <w:rFonts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转专业参数设置</w:t>
      </w:r>
    </w:p>
    <w:p w14:paraId="7F6B6FA6">
      <w:pPr>
        <w:pStyle w:val="2"/>
        <w:numPr>
          <w:ilvl w:val="0"/>
          <w:numId w:val="1"/>
        </w:numPr>
        <w:ind w:left="425" w:hanging="425"/>
        <w:rPr>
          <w:rFonts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转专业招收专业设置</w:t>
      </w:r>
    </w:p>
    <w:p w14:paraId="60542513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转专业招收专业设置，针对的是院系的操作，如果院系某个专业需要招收学生，则院系可设置招收专业，供学生转专业的时候进行申请。</w:t>
      </w:r>
    </w:p>
    <w:p w14:paraId="6CD19584">
      <w:pPr>
        <w:pStyle w:val="3"/>
        <w:numPr>
          <w:ilvl w:val="1"/>
          <w:numId w:val="2"/>
        </w:numPr>
      </w:pPr>
      <w:r>
        <w:rPr>
          <w:rFonts w:hint="eastAsia"/>
        </w:rPr>
        <w:t>新增转专业招收专业设置</w:t>
      </w:r>
    </w:p>
    <w:p w14:paraId="2A7BB795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只有在该批次设置的上报招收专业时间范围之内才可新建保存（如果是已经建好的，则可以保存，此为防止被教务处退回的招收专业设置不可修改的情况产生），否则提示“ 不在上报招收专业时间范围之内”。</w:t>
      </w:r>
    </w:p>
    <w:p w14:paraId="608E727F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步骤一： 点击顶部标签栏【学籍】，再点击左侧导航栏【转专业管理】下的【转专业招收专业设置】。</w:t>
      </w:r>
    </w:p>
    <w:p w14:paraId="53CB6A78">
      <w:pPr>
        <w:rPr>
          <w:rFonts w:asciiTheme="minorEastAsia" w:hAnsiTheme="minorEastAsia"/>
          <w:b/>
          <w:bCs/>
          <w:sz w:val="30"/>
          <w:szCs w:val="30"/>
        </w:rPr>
      </w:pPr>
      <w:r>
        <w:rPr>
          <w:rFonts w:hint="eastAsia" w:asciiTheme="minorEastAsia" w:hAnsiTheme="minorEastAsia"/>
        </w:rPr>
        <w:t>点击【更改】按钮可以切换批次，院系设置的招收专业就会存在被选中的批次下。</w:t>
      </w:r>
    </w:p>
    <w:p w14:paraId="3DC072DB">
      <w:r>
        <w:drawing>
          <wp:inline distT="0" distB="0" distL="0" distR="0">
            <wp:extent cx="5274310" cy="2275205"/>
            <wp:effectExtent l="0" t="0" r="2540" b="10795"/>
            <wp:docPr id="156629787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297874" name="图片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1C278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步骤二：点击“新建”按钮。</w:t>
      </w:r>
    </w:p>
    <w:p w14:paraId="7FB2B692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74570"/>
            <wp:effectExtent l="0" t="0" r="2540" b="11430"/>
            <wp:docPr id="8223489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348980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34B0A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新建页面包含基本信息和排名规则两块，如图下：</w:t>
      </w:r>
    </w:p>
    <w:p w14:paraId="541D9B32">
      <w:r>
        <w:drawing>
          <wp:inline distT="0" distB="0" distL="0" distR="0">
            <wp:extent cx="5274310" cy="2275205"/>
            <wp:effectExtent l="0" t="0" r="2540" b="10795"/>
            <wp:docPr id="8060096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0969" name="图片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F3A61">
      <w:r>
        <w:rPr>
          <w:rFonts w:hint="eastAsia"/>
        </w:rPr>
        <w:t>步骤三：填写【基本设置】板块的内容后点击【下一步】按钮。</w:t>
      </w:r>
    </w:p>
    <w:p w14:paraId="7044E38E">
      <w:pPr>
        <w:autoSpaceDE w:val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必填内容如下：</w:t>
      </w:r>
    </w:p>
    <w:p w14:paraId="6943DE70">
      <w:pPr>
        <w:pStyle w:val="7"/>
        <w:numPr>
          <w:ilvl w:val="0"/>
          <w:numId w:val="3"/>
        </w:numPr>
        <w:autoSpaceDE w:val="0"/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年级：</w:t>
      </w:r>
      <w:r>
        <w:rPr>
          <w:rFonts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年级的可选项来源于该批次下设置的开放年级，不在开放年级范围内的不可选择。</w:t>
      </w:r>
    </w:p>
    <w:p w14:paraId="161EB1F8">
      <w:pPr>
        <w:pStyle w:val="7"/>
        <w:numPr>
          <w:ilvl w:val="0"/>
          <w:numId w:val="3"/>
        </w:numPr>
        <w:autoSpaceDE w:val="0"/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  <w:szCs w:val="21"/>
        </w:rPr>
        <w:t>院系：</w:t>
      </w:r>
      <w:r>
        <w:rPr>
          <w:rFonts w:hint="eastAsia" w:asciiTheme="minorEastAsia" w:hAnsiTheme="minorEastAsia"/>
        </w:rPr>
        <w:t>院系为登录用户所管辖的院系（即使用了院系权限），非管辖的院系不可选。</w:t>
      </w:r>
    </w:p>
    <w:p w14:paraId="0F61468D">
      <w:pPr>
        <w:pStyle w:val="7"/>
        <w:numPr>
          <w:ilvl w:val="0"/>
          <w:numId w:val="3"/>
        </w:numPr>
        <w:autoSpaceDE w:val="0"/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专业：这里的专业来源于年度专业，并且经过“年级”或者“院系”的过滤。</w:t>
      </w:r>
    </w:p>
    <w:p w14:paraId="1C33A4F7">
      <w:pPr>
        <w:pStyle w:val="7"/>
        <w:numPr>
          <w:ilvl w:val="0"/>
          <w:numId w:val="3"/>
        </w:numPr>
        <w:autoSpaceDE w:val="0"/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转入人数：这里设置该专业可转入的人数，学生在申请的时候，可看到各专业的可转入人数，给学生提供参考；在招收专业进行录取的时候，对一键录取功能在录取数量上做出限制。</w:t>
      </w:r>
    </w:p>
    <w:p w14:paraId="24E4AABC">
      <w:pPr>
        <w:autoSpaceDE w:val="0"/>
        <w:rPr>
          <w:rFonts w:asciiTheme="minorEastAsia" w:hAnsiTheme="minorEastAsia"/>
        </w:rPr>
      </w:pPr>
      <w:r>
        <w:rPr>
          <w:rFonts w:asciiTheme="minorEastAsia" w:hAnsiTheme="minorEastAsia"/>
        </w:rPr>
        <w:drawing>
          <wp:inline distT="0" distB="0" distL="0" distR="0">
            <wp:extent cx="5274310" cy="2275205"/>
            <wp:effectExtent l="0" t="0" r="2540" b="10795"/>
            <wp:docPr id="16760386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038618" name="图片 1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4736B">
      <w:pPr>
        <w:autoSpaceDE w:val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选填内容如下：</w:t>
      </w:r>
    </w:p>
    <w:p w14:paraId="0171B973">
      <w:pPr>
        <w:pStyle w:val="7"/>
        <w:numPr>
          <w:ilvl w:val="0"/>
          <w:numId w:val="4"/>
        </w:numPr>
        <w:autoSpaceDE w:val="0"/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面向专业：</w:t>
      </w:r>
      <w:r>
        <w:rPr>
          <w:rFonts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如果某些专业只招收特定专业的学生，则可以通过设置面向专业，只有是这里设置的面向专业的学生才可申请该专业，其他专业不可申请；如果没有设置，则代表面向全部的专业进行招收。</w:t>
      </w:r>
    </w:p>
    <w:p w14:paraId="6FAEBDFA">
      <w:pPr>
        <w:pStyle w:val="7"/>
        <w:numPr>
          <w:ilvl w:val="0"/>
          <w:numId w:val="4"/>
        </w:numPr>
        <w:autoSpaceDE w:val="0"/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受限专业：</w:t>
      </w:r>
      <w:r>
        <w:rPr>
          <w:rFonts w:hint="eastAsia" w:asciiTheme="minorEastAsia" w:hAnsiTheme="minorEastAsia"/>
          <w:color w:val="000000"/>
          <w:szCs w:val="21"/>
        </w:rPr>
        <w:t>表示禁止该专业的学生报名本招收专业。</w:t>
      </w:r>
    </w:p>
    <w:p w14:paraId="3406B683">
      <w:pPr>
        <w:pStyle w:val="7"/>
        <w:numPr>
          <w:ilvl w:val="0"/>
          <w:numId w:val="4"/>
        </w:numPr>
        <w:autoSpaceDE w:val="0"/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报名条件和录取条件说明：此两项内容是该招收专业在面向学生申请的时候，展现给学生看的，让学生知道报名和录取条件，学生在申请页面上即可看到。</w:t>
      </w:r>
      <w:r>
        <w:rPr>
          <w:rFonts w:asciiTheme="minorEastAsia" w:hAnsiTheme="minorEastAsia"/>
        </w:rPr>
        <w:t xml:space="preserve"> </w:t>
      </w:r>
    </w:p>
    <w:p w14:paraId="36503EDD">
      <w:pPr>
        <w:autoSpaceDE w:val="0"/>
        <w:rPr>
          <w:rFonts w:asciiTheme="minorEastAsia" w:hAnsiTheme="minorEastAsia"/>
        </w:rPr>
      </w:pPr>
      <w:r>
        <w:drawing>
          <wp:inline distT="0" distB="0" distL="0" distR="0">
            <wp:extent cx="5274310" cy="2274570"/>
            <wp:effectExtent l="0" t="0" r="2540" b="11430"/>
            <wp:docPr id="15834624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46247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4D4A8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</w:rPr>
        <w:t>步骤四：点击【添加排名规则】按钮后</w:t>
      </w:r>
      <w:r>
        <w:rPr>
          <w:rFonts w:hint="eastAsia"/>
        </w:rPr>
        <w:t>填写排名规则的内容后点击【保存】按钮。检查无误后</w:t>
      </w:r>
      <w:r>
        <w:rPr>
          <w:rFonts w:hint="eastAsia" w:asciiTheme="minorEastAsia" w:hAnsiTheme="minorEastAsia"/>
        </w:rPr>
        <w:t>点击【完成】按钮。</w:t>
      </w:r>
      <w:r>
        <w:rPr>
          <w:rFonts w:hint="eastAsia" w:asciiTheme="minorEastAsia" w:hAnsiTheme="minorEastAsia"/>
          <w:color w:val="FF0000"/>
        </w:rPr>
        <w:t>注：</w:t>
      </w:r>
      <w:r>
        <w:rPr>
          <w:rFonts w:hint="eastAsia" w:asciiTheme="minorEastAsia" w:hAnsiTheme="minorEastAsia"/>
          <w:color w:val="FF0000"/>
          <w:szCs w:val="21"/>
          <w:shd w:val="clear" w:color="auto" w:fill="FFFFFF"/>
        </w:rPr>
        <w:t>成绩排名条件比例需维护到100%。</w:t>
      </w:r>
    </w:p>
    <w:p w14:paraId="5EA22261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排名规则是在进行招收专业录取的时候，生成报名学生的系统成绩、导入学生的线下成绩、以及淘汰未达到要求的学生，最终计出算总成绩，进而排名，供院系进行录取操作。</w:t>
      </w:r>
    </w:p>
    <w:p w14:paraId="3581B943">
      <w:pPr>
        <w:rPr>
          <w:rFonts w:ascii="微软雅黑" w:hAnsi="微软雅黑" w:eastAsia="微软雅黑"/>
        </w:rPr>
      </w:pPr>
      <w:r>
        <w:drawing>
          <wp:inline distT="0" distB="0" distL="0" distR="0">
            <wp:extent cx="5274310" cy="2274570"/>
            <wp:effectExtent l="0" t="0" r="2540" b="11430"/>
            <wp:docPr id="1811140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14059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A866C">
      <w:pPr>
        <w:autoSpaceDE w:val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必填内容如下：</w:t>
      </w:r>
    </w:p>
    <w:p w14:paraId="32619C77">
      <w:pPr>
        <w:pStyle w:val="7"/>
        <w:numPr>
          <w:ilvl w:val="0"/>
          <w:numId w:val="5"/>
        </w:numPr>
        <w:autoSpaceDE w:val="0"/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指标：指标来源于资格条件设置，具体配置方法请参考《资格条件配置操作手册》。</w:t>
      </w:r>
    </w:p>
    <w:p w14:paraId="7A04DA03">
      <w:pPr>
        <w:pStyle w:val="7"/>
        <w:numPr>
          <w:ilvl w:val="0"/>
          <w:numId w:val="5"/>
        </w:numPr>
        <w:autoSpaceDE w:val="0"/>
        <w:ind w:firstLineChars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所占比例：所占比例指在招收专业进行录取的时候，在计算学生总成绩的时候，该项指标最后算出来（或者录入）的成绩值所占总成绩的比例。</w:t>
      </w:r>
    </w:p>
    <w:p w14:paraId="3ACFF2D6">
      <w:pPr>
        <w:pStyle w:val="7"/>
        <w:autoSpaceDE w:val="0"/>
        <w:ind w:left="720" w:firstLine="0" w:firstLineChars="0"/>
        <w:rPr>
          <w:rFonts w:asciiTheme="minorEastAsia" w:hAnsiTheme="minorEastAsia"/>
        </w:rPr>
      </w:pPr>
      <w:r>
        <w:drawing>
          <wp:inline distT="0" distB="0" distL="0" distR="0">
            <wp:extent cx="5274310" cy="2274570"/>
            <wp:effectExtent l="0" t="0" r="2540" b="11430"/>
            <wp:docPr id="19036868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68683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628E1">
      <w:pPr>
        <w:autoSpaceDE w:val="0"/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选填内容如下：</w:t>
      </w:r>
    </w:p>
    <w:p w14:paraId="776C18F4">
      <w:pPr>
        <w:pStyle w:val="7"/>
        <w:numPr>
          <w:ilvl w:val="0"/>
          <w:numId w:val="6"/>
        </w:numPr>
        <w:autoSpaceDE w:val="0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</w:rPr>
        <w:t>排名要求：排名要求有＞、＜，≥，≤和</w:t>
      </w:r>
      <w:r>
        <w:rPr>
          <w:rFonts w:hint="eastAsia" w:ascii="Microsoft JhengHei UI" w:hAnsi="Microsoft JhengHei UI" w:eastAsia="Microsoft JhengHei UI"/>
        </w:rPr>
        <w:t>≠</w:t>
      </w:r>
      <w:r>
        <w:rPr>
          <w:rFonts w:hint="eastAsia" w:asciiTheme="minorEastAsia" w:hAnsiTheme="minorEastAsia"/>
        </w:rPr>
        <w:t>五个选项，表示学生该项的成绩值与“要求值”之间的关系符合“排名要求”所选的关系的时候，该学生才能够参与招收专业录取时候的排名计算，从而才有可能被录取。</w:t>
      </w:r>
    </w:p>
    <w:p w14:paraId="4DF21D26">
      <w:pPr>
        <w:pStyle w:val="7"/>
        <w:numPr>
          <w:ilvl w:val="0"/>
          <w:numId w:val="6"/>
        </w:numPr>
        <w:autoSpaceDE w:val="0"/>
        <w:ind w:firstLineChars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</w:rPr>
        <w:t>排名要求值：即所描述的要求值。</w:t>
      </w:r>
    </w:p>
    <w:p w14:paraId="5004BF73">
      <w:pPr>
        <w:pStyle w:val="7"/>
        <w:numPr>
          <w:ilvl w:val="0"/>
          <w:numId w:val="6"/>
        </w:numPr>
        <w:autoSpaceDE w:val="0"/>
        <w:ind w:firstLineChars="0"/>
        <w:rPr>
          <w:rFonts w:asciiTheme="minorEastAsia" w:hAnsiTheme="minorEastAsia"/>
          <w:szCs w:val="21"/>
        </w:rPr>
      </w:pPr>
      <w:r>
        <w:rPr>
          <w:rFonts w:cs="Helvetica" w:asciiTheme="minorEastAsia" w:hAnsiTheme="minorEastAsia"/>
          <w:color w:val="060607"/>
          <w:spacing w:val="8"/>
          <w:kern w:val="0"/>
          <w:szCs w:val="21"/>
        </w:rPr>
        <w:t>"＞"（大于）：学生的成绩必须高于某个指定的"要求值"。</w:t>
      </w:r>
    </w:p>
    <w:p w14:paraId="0DE6BA60">
      <w:pPr>
        <w:pStyle w:val="7"/>
        <w:autoSpaceDE w:val="0"/>
        <w:ind w:left="720" w:firstLine="0" w:firstLineChars="0"/>
        <w:rPr>
          <w:rFonts w:asciiTheme="minorEastAsia" w:hAnsiTheme="minorEastAsia"/>
          <w:szCs w:val="21"/>
        </w:rPr>
      </w:pPr>
      <w:r>
        <w:rPr>
          <w:rFonts w:cs="Helvetica" w:asciiTheme="minorEastAsia" w:hAnsiTheme="minorEastAsia"/>
          <w:color w:val="060607"/>
          <w:spacing w:val="8"/>
          <w:kern w:val="0"/>
          <w:szCs w:val="21"/>
        </w:rPr>
        <w:t>"＜"（小于）：学生的成绩必须低于某个指定的"要求值"。</w:t>
      </w:r>
    </w:p>
    <w:p w14:paraId="67889C49">
      <w:pPr>
        <w:pStyle w:val="7"/>
        <w:autoSpaceDE w:val="0"/>
        <w:ind w:left="720" w:firstLine="0" w:firstLineChars="0"/>
        <w:rPr>
          <w:rFonts w:asciiTheme="minorEastAsia" w:hAnsiTheme="minorEastAsia"/>
          <w:szCs w:val="21"/>
        </w:rPr>
      </w:pPr>
      <w:r>
        <w:rPr>
          <w:rFonts w:cs="Helvetica" w:asciiTheme="minorEastAsia" w:hAnsiTheme="minorEastAsia"/>
          <w:color w:val="060607"/>
          <w:spacing w:val="8"/>
          <w:kern w:val="0"/>
          <w:szCs w:val="21"/>
        </w:rPr>
        <w:t>"≥"（大于等于）：学生的成绩必须大于或等于某个指定的"要求值"。</w:t>
      </w:r>
    </w:p>
    <w:p w14:paraId="7EE08B2F">
      <w:pPr>
        <w:pStyle w:val="7"/>
        <w:autoSpaceDE w:val="0"/>
        <w:ind w:left="720" w:firstLine="0" w:firstLineChars="0"/>
        <w:rPr>
          <w:rFonts w:asciiTheme="minorEastAsia" w:hAnsiTheme="minorEastAsia"/>
          <w:szCs w:val="21"/>
        </w:rPr>
      </w:pPr>
      <w:r>
        <w:rPr>
          <w:rFonts w:cs="Helvetica" w:asciiTheme="minorEastAsia" w:hAnsiTheme="minorEastAsia"/>
          <w:color w:val="060607"/>
          <w:spacing w:val="8"/>
          <w:kern w:val="0"/>
          <w:szCs w:val="21"/>
        </w:rPr>
        <w:t>"≤"（小于等于）：学生的成绩必须小于或等于某个指定的"要求值"。</w:t>
      </w:r>
    </w:p>
    <w:p w14:paraId="60D891B2">
      <w:pPr>
        <w:pStyle w:val="7"/>
        <w:autoSpaceDE w:val="0"/>
        <w:ind w:left="720" w:firstLine="0" w:firstLineChars="0"/>
        <w:rPr>
          <w:rFonts w:asciiTheme="minorEastAsia" w:hAnsiTheme="minorEastAsia"/>
          <w:szCs w:val="21"/>
        </w:rPr>
      </w:pPr>
      <w:r>
        <w:rPr>
          <w:rFonts w:cs="Helvetica" w:asciiTheme="minorEastAsia" w:hAnsiTheme="minorEastAsia"/>
          <w:color w:val="060607"/>
          <w:spacing w:val="8"/>
          <w:kern w:val="0"/>
          <w:szCs w:val="21"/>
        </w:rPr>
        <w:t>"≠"（不等于）：学生的成绩必须不等于某个指定的"要求值"。</w:t>
      </w:r>
    </w:p>
    <w:p w14:paraId="1F7DD1E0">
      <w:pPr>
        <w:pStyle w:val="3"/>
        <w:numPr>
          <w:ilvl w:val="1"/>
          <w:numId w:val="2"/>
        </w:numPr>
      </w:pPr>
      <w:r>
        <w:rPr>
          <w:rFonts w:hint="eastAsia"/>
        </w:rPr>
        <w:t>提交转专业招收专业设置</w:t>
      </w:r>
    </w:p>
    <w:p w14:paraId="46D4F1D0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因为院系新增的招收专业要在学生申请转专业的时候能够被申请，需要教务处的审核，当教务处审核通过的时候，学生才能查到该招收专业，并进行申请。此功能即使院系提交招收专业设置给教务处进行审核。</w:t>
      </w:r>
    </w:p>
    <w:p w14:paraId="45718FC2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点击【提交】按钮后点击【确定】。</w:t>
      </w:r>
    </w:p>
    <w:p w14:paraId="16ECC99C">
      <w:pPr>
        <w:rPr>
          <w:rFonts w:ascii="微软雅黑" w:hAnsi="微软雅黑" w:eastAsia="微软雅黑"/>
          <w:szCs w:val="21"/>
        </w:rPr>
      </w:pPr>
      <w:r>
        <w:drawing>
          <wp:inline distT="0" distB="0" distL="0" distR="0">
            <wp:extent cx="5274310" cy="2274570"/>
            <wp:effectExtent l="0" t="0" r="2540" b="11430"/>
            <wp:docPr id="3618609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860922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6EFF4">
      <w:pPr>
        <w:autoSpaceDE w:val="0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也可以在上报时间内对已提交的招收专业设置进行【收回】。</w:t>
      </w:r>
    </w:p>
    <w:p w14:paraId="5C469F37">
      <w:pPr>
        <w:autoSpaceDE w:val="0"/>
        <w:rPr>
          <w:rFonts w:asciiTheme="minorEastAsia" w:hAnsiTheme="minorEastAsia"/>
          <w:szCs w:val="21"/>
        </w:rPr>
      </w:pPr>
      <w:r>
        <w:drawing>
          <wp:inline distT="0" distB="0" distL="0" distR="0">
            <wp:extent cx="5274310" cy="2274570"/>
            <wp:effectExtent l="0" t="0" r="2540" b="11430"/>
            <wp:docPr id="1071384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384838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D8B48">
      <w:pPr>
        <w:pStyle w:val="3"/>
        <w:numPr>
          <w:ilvl w:val="1"/>
          <w:numId w:val="2"/>
        </w:numPr>
      </w:pPr>
      <w:r>
        <w:rPr>
          <w:rFonts w:hint="eastAsia"/>
        </w:rPr>
        <w:t>删除转专业招收专业设置</w:t>
      </w:r>
    </w:p>
    <w:p w14:paraId="23E53761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</w:rPr>
        <w:t>当院系有不需要的招收专业，且该招收专业未提交到教务处进行审核时，则该招收专业可被删除。</w:t>
      </w:r>
    </w:p>
    <w:p w14:paraId="30EDA2C4">
      <w:r>
        <w:drawing>
          <wp:inline distT="0" distB="0" distL="0" distR="0">
            <wp:extent cx="5274310" cy="2274570"/>
            <wp:effectExtent l="0" t="0" r="2540" b="11430"/>
            <wp:docPr id="8534567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456733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5A489">
      <w:pPr>
        <w:pStyle w:val="2"/>
        <w:numPr>
          <w:ilvl w:val="0"/>
          <w:numId w:val="1"/>
        </w:numPr>
        <w:ind w:left="425" w:hanging="425"/>
        <w:rPr>
          <w:rFonts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转专业转入院系审核</w:t>
      </w:r>
    </w:p>
    <w:p w14:paraId="6BACB169">
      <w:pPr>
        <w:pStyle w:val="7"/>
        <w:keepNext/>
        <w:keepLines/>
        <w:numPr>
          <w:ilvl w:val="0"/>
          <w:numId w:val="2"/>
        </w:numPr>
        <w:spacing w:before="260" w:after="260" w:line="416" w:lineRule="auto"/>
        <w:ind w:firstLineChars="0"/>
        <w:outlineLvl w:val="1"/>
        <w:rPr>
          <w:rFonts w:asciiTheme="majorHAnsi" w:hAnsiTheme="majorHAnsi" w:eastAsiaTheme="majorEastAsia" w:cstheme="majorBidi"/>
          <w:b/>
          <w:bCs/>
          <w:vanish/>
          <w:sz w:val="32"/>
          <w:szCs w:val="32"/>
        </w:rPr>
      </w:pPr>
    </w:p>
    <w:p w14:paraId="4F187FB3">
      <w:pPr>
        <w:pStyle w:val="7"/>
        <w:keepNext/>
        <w:keepLines/>
        <w:numPr>
          <w:ilvl w:val="0"/>
          <w:numId w:val="2"/>
        </w:numPr>
        <w:spacing w:before="260" w:after="260" w:line="416" w:lineRule="auto"/>
        <w:ind w:firstLineChars="0"/>
        <w:outlineLvl w:val="1"/>
        <w:rPr>
          <w:rFonts w:asciiTheme="majorHAnsi" w:hAnsiTheme="majorHAnsi" w:eastAsiaTheme="majorEastAsia" w:cstheme="majorBidi"/>
          <w:b/>
          <w:bCs/>
          <w:vanish/>
          <w:sz w:val="32"/>
          <w:szCs w:val="32"/>
        </w:rPr>
      </w:pPr>
    </w:p>
    <w:p w14:paraId="5FDD8500">
      <w:pPr>
        <w:pStyle w:val="3"/>
        <w:numPr>
          <w:ilvl w:val="1"/>
          <w:numId w:val="2"/>
        </w:numPr>
      </w:pPr>
      <w:r>
        <w:rPr>
          <w:rFonts w:hint="eastAsia"/>
        </w:rPr>
        <w:t>学生转入审核</w:t>
      </w:r>
    </w:p>
    <w:p w14:paraId="794C500E"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当学生原专业院系审核完成后，申请的转入专业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学院院长、副院长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开始审核工作。 </w:t>
      </w:r>
    </w:p>
    <w:p w14:paraId="0436B97E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步骤一： 点击顶部标签栏【学籍】，再点击左侧导航栏【转专业管理】下的【转专业转入院系审核】。进入到右侧转专业转入院系审核页面。</w:t>
      </w:r>
    </w:p>
    <w:p w14:paraId="5574FDBA">
      <w:pPr>
        <w:rPr>
          <w:rFonts w:asciiTheme="minorEastAsia" w:hAnsiTheme="minorEastAsia"/>
          <w:b/>
          <w:bCs/>
          <w:sz w:val="28"/>
          <w:szCs w:val="28"/>
        </w:rPr>
      </w:pPr>
      <w:r>
        <w:drawing>
          <wp:inline distT="0" distB="0" distL="0" distR="0">
            <wp:extent cx="5274310" cy="2274570"/>
            <wp:effectExtent l="0" t="0" r="2540" b="11430"/>
            <wp:docPr id="13992284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228492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7955D">
      <w:pPr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</w:rPr>
        <w:t>步骤二：点击【学生转入审核】标题栏进入学生转入审核页面。接着点击【成绩录入】按钮。</w:t>
      </w:r>
    </w:p>
    <w:p w14:paraId="58651075">
      <w:pPr>
        <w:rPr>
          <w:rFonts w:asciiTheme="minorEastAsia" w:hAnsiTheme="minorEastAsia"/>
          <w:b/>
          <w:bCs/>
          <w:sz w:val="28"/>
          <w:szCs w:val="28"/>
        </w:rPr>
      </w:pPr>
      <w:r>
        <w:drawing>
          <wp:inline distT="0" distB="0" distL="0" distR="0">
            <wp:extent cx="5274310" cy="2274570"/>
            <wp:effectExtent l="0" t="0" r="2540" b="11430"/>
            <wp:docPr id="12286272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627295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6B2A6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步骤三：在转入院系录入成绩页面，点击【生成学生成绩】按钮后点击【继续】按钮。</w:t>
      </w:r>
    </w:p>
    <w:p w14:paraId="5B6C93E0">
      <w:pPr>
        <w:rPr>
          <w:rFonts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学生成绩初始化成功，可继续导入类型的成绩。</w:t>
      </w:r>
    </w:p>
    <w:p w14:paraId="7CA2F943">
      <w:pPr>
        <w:rPr>
          <w:rFonts w:asciiTheme="minorEastAsia" w:hAnsiTheme="minorEastAsia"/>
          <w:szCs w:val="21"/>
        </w:rPr>
      </w:pPr>
      <w:r>
        <w:drawing>
          <wp:inline distT="0" distB="0" distL="0" distR="0">
            <wp:extent cx="5274310" cy="2274570"/>
            <wp:effectExtent l="0" t="0" r="2540" b="11430"/>
            <wp:docPr id="3918701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870106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CB131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szCs w:val="21"/>
        </w:rPr>
        <w:t>步骤四：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导入类型的成绩有俩种方式，成绩录入完成后点击【保存】，如下图：</w:t>
      </w:r>
    </w:p>
    <w:p w14:paraId="57CE05D7">
      <w:pPr>
        <w:rPr>
          <w:rFonts w:asciiTheme="minorEastAsia" w:hAnsiTheme="minorEastAsia"/>
          <w:szCs w:val="21"/>
        </w:rPr>
      </w:pPr>
      <w:r>
        <w:drawing>
          <wp:inline distT="0" distB="0" distL="0" distR="0">
            <wp:extent cx="5274310" cy="2274570"/>
            <wp:effectExtent l="0" t="0" r="2540" b="11430"/>
            <wp:docPr id="4419808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980845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6EE1C">
      <w:pPr>
        <w:rPr>
          <w:rFonts w:asciiTheme="minorEastAsia" w:hAnsiTheme="minorEastAsia"/>
          <w:color w:val="333333"/>
          <w:szCs w:val="21"/>
          <w:shd w:val="clear" w:color="auto" w:fill="FFFFFF"/>
        </w:rPr>
      </w:pPr>
      <w:r>
        <w:rPr>
          <w:rFonts w:hint="eastAsia" w:asciiTheme="minorEastAsia" w:hAnsiTheme="minorEastAsia"/>
          <w:szCs w:val="21"/>
        </w:rPr>
        <w:t>步骤五：</w:t>
      </w:r>
      <w:r>
        <w:rPr>
          <w:rFonts w:hint="eastAsia" w:asciiTheme="minorEastAsia" w:hAnsiTheme="minorEastAsia"/>
          <w:color w:val="333333"/>
          <w:szCs w:val="21"/>
          <w:shd w:val="clear" w:color="auto" w:fill="FFFFFF"/>
        </w:rPr>
        <w:t>点击【计算总成绩排名】按钮后点击【下一步】按钮，如下图：</w:t>
      </w:r>
    </w:p>
    <w:p w14:paraId="4EAAEB82">
      <w:pPr>
        <w:rPr>
          <w:rFonts w:asciiTheme="minorEastAsia" w:hAnsiTheme="minorEastAsia"/>
          <w:szCs w:val="21"/>
        </w:rPr>
      </w:pPr>
      <w:r>
        <w:drawing>
          <wp:inline distT="0" distB="0" distL="0" distR="0">
            <wp:extent cx="5274310" cy="2274570"/>
            <wp:effectExtent l="0" t="0" r="2540" b="11430"/>
            <wp:docPr id="1492107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10717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C3F96">
      <w:pPr>
        <w:rPr>
          <w:rFonts w:asciiTheme="minorEastAsia" w:hAnsiTheme="minorEastAsia"/>
        </w:rPr>
      </w:pPr>
      <w:r>
        <w:rPr>
          <w:rFonts w:hint="eastAsia" w:asciiTheme="minorEastAsia" w:hAnsiTheme="minorEastAsia"/>
          <w:szCs w:val="21"/>
        </w:rPr>
        <w:t>步骤六：</w:t>
      </w:r>
      <w:r>
        <w:rPr>
          <w:rFonts w:hint="eastAsia" w:asciiTheme="minorEastAsia" w:hAnsiTheme="minorEastAsia"/>
        </w:rPr>
        <w:t>录取页面分为“一键录取”和单个“录取”，后点击【完成】按钮即可结束录取。如下图：</w:t>
      </w:r>
    </w:p>
    <w:p w14:paraId="0ED4A163">
      <w:pPr>
        <w:rPr>
          <w:rFonts w:asciiTheme="minorEastAsia" w:hAnsiTheme="minorEastAsia"/>
          <w:color w:val="FF0000"/>
        </w:rPr>
      </w:pPr>
      <w:r>
        <w:rPr>
          <w:rFonts w:hint="eastAsia" w:asciiTheme="minorEastAsia" w:hAnsiTheme="minorEastAsia"/>
          <w:color w:val="FF0000"/>
        </w:rPr>
        <w:t>注：可以先“一键录取”后单个录取，但是不可先单个“录取”再进行“一键录取”。如果单个“录取”的人数已经超出了招收专业设置的“可转入人数”，则需要填写“录取特殊原因”。</w:t>
      </w:r>
    </w:p>
    <w:p w14:paraId="74466405">
      <w:pPr>
        <w:rPr>
          <w:rFonts w:asciiTheme="minorEastAsia" w:hAnsiTheme="minorEastAsia"/>
        </w:rPr>
      </w:pPr>
      <w:r>
        <w:drawing>
          <wp:inline distT="0" distB="0" distL="0" distR="0">
            <wp:extent cx="5274310" cy="2274570"/>
            <wp:effectExtent l="0" t="0" r="2540" b="11430"/>
            <wp:docPr id="2826232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23252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918DF">
      <w:pPr>
        <w:rPr>
          <w:rFonts w:asciiTheme="minorEastAsia" w:hAnsiTheme="minorEastAsia"/>
        </w:rPr>
      </w:pPr>
      <w:r>
        <w:drawing>
          <wp:inline distT="0" distB="0" distL="0" distR="0">
            <wp:extent cx="5274310" cy="2274570"/>
            <wp:effectExtent l="0" t="0" r="2540" b="11430"/>
            <wp:docPr id="16513600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360017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371FD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由于转专业招收专业设置中，GPA(平时成绩)要求值需大于80分，jwstu01学生的GPA(平时成绩)成绩值为79，所以不参与录取成绩的排名。</w:t>
      </w:r>
    </w:p>
    <w:p w14:paraId="7CE43A09">
      <w:pPr>
        <w:rPr>
          <w:rFonts w:asciiTheme="minorEastAsia" w:hAnsiTheme="minorEastAsia"/>
        </w:rPr>
      </w:pPr>
      <w:r>
        <w:rPr>
          <w:rFonts w:hint="eastAsia"/>
        </w:rPr>
        <w:t xml:space="preserve">                                                   </w:t>
      </w:r>
    </w:p>
    <w:p w14:paraId="4BFF97FA">
      <w:pPr>
        <w:rPr>
          <w:rFonts w:asciiTheme="minorEastAsia" w:hAnsiTheme="minorEastAsia"/>
          <w:szCs w:val="21"/>
        </w:rPr>
      </w:pPr>
      <w:r>
        <w:drawing>
          <wp:inline distT="0" distB="0" distL="0" distR="0">
            <wp:extent cx="5274310" cy="2274570"/>
            <wp:effectExtent l="0" t="0" r="2540" b="11430"/>
            <wp:docPr id="19376297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629793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4A2E8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drawing>
          <wp:inline distT="0" distB="0" distL="0" distR="0">
            <wp:extent cx="5274310" cy="2275205"/>
            <wp:effectExtent l="0" t="0" r="2540" b="10795"/>
            <wp:docPr id="426722243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722243" name="图片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C10F8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步骤七：</w:t>
      </w:r>
      <w:r>
        <w:rPr>
          <w:rFonts w:hint="eastAsia" w:asciiTheme="minorEastAsia" w:hAnsiTheme="minorEastAsia"/>
        </w:rPr>
        <w:t>如果院系有录取错误的情况，可以进行“撤回”，但是撤回是有前提的，前提条件是在学生还没有再“转专业学生申请”页面进行“确认”或“终止”操作。</w:t>
      </w:r>
    </w:p>
    <w:p w14:paraId="36D81C74">
      <w:pPr>
        <w:rPr>
          <w:rFonts w:asciiTheme="minorEastAsia" w:hAnsiTheme="minorEastAsia"/>
          <w:szCs w:val="21"/>
        </w:rPr>
      </w:pPr>
      <w:r>
        <w:drawing>
          <wp:inline distT="0" distB="0" distL="0" distR="0">
            <wp:extent cx="5274310" cy="2274570"/>
            <wp:effectExtent l="0" t="0" r="2540" b="11430"/>
            <wp:docPr id="20609455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945508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67ECEC">
      <w:pPr>
        <w:pStyle w:val="3"/>
        <w:numPr>
          <w:ilvl w:val="1"/>
          <w:numId w:val="2"/>
        </w:numPr>
      </w:pPr>
      <w:r>
        <w:rPr>
          <w:rFonts w:hint="eastAsia"/>
        </w:rPr>
        <w:t>学生志愿详情查看</w:t>
      </w:r>
    </w:p>
    <w:p w14:paraId="4F8B82FE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院系可在“学生志愿详情”页面查看所有申请了本院系的学生的转专业申请的志愿信息。</w:t>
      </w:r>
    </w:p>
    <w:p w14:paraId="12E4EC9F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点击【学生志愿详情查看】标题栏进入学生志愿详情查看页面。</w:t>
      </w:r>
    </w:p>
    <w:p w14:paraId="3AF95B6C">
      <w:r>
        <w:drawing>
          <wp:inline distT="0" distB="0" distL="0" distR="0">
            <wp:extent cx="5274310" cy="2274570"/>
            <wp:effectExtent l="0" t="0" r="2540" b="11430"/>
            <wp:docPr id="12096071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607173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3CE4B">
      <w:pPr>
        <w:pStyle w:val="2"/>
        <w:numPr>
          <w:ilvl w:val="0"/>
          <w:numId w:val="1"/>
        </w:numPr>
        <w:ind w:left="425" w:hanging="425"/>
        <w:rPr>
          <w:rFonts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转专业分班管理</w:t>
      </w:r>
    </w:p>
    <w:p w14:paraId="4A566183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当学生的转专业申请被教务处审核通过之后，说明该学生已经转专业成功了，接下来学生所申请转入的院系，会对学生进行分班操作，如下图：</w:t>
      </w:r>
    </w:p>
    <w:p w14:paraId="3D1BD0EC">
      <w:pPr>
        <w:pStyle w:val="7"/>
        <w:keepNext/>
        <w:keepLines/>
        <w:numPr>
          <w:ilvl w:val="0"/>
          <w:numId w:val="2"/>
        </w:numPr>
        <w:spacing w:before="260" w:after="260" w:line="416" w:lineRule="auto"/>
        <w:ind w:firstLineChars="0"/>
        <w:outlineLvl w:val="1"/>
        <w:rPr>
          <w:rFonts w:asciiTheme="majorHAnsi" w:hAnsiTheme="majorHAnsi" w:eastAsiaTheme="majorEastAsia" w:cstheme="majorBidi"/>
          <w:b/>
          <w:bCs/>
          <w:vanish/>
          <w:sz w:val="32"/>
          <w:szCs w:val="32"/>
        </w:rPr>
      </w:pPr>
    </w:p>
    <w:p w14:paraId="57C3FDBC">
      <w:pPr>
        <w:pStyle w:val="7"/>
        <w:keepNext/>
        <w:keepLines/>
        <w:numPr>
          <w:ilvl w:val="0"/>
          <w:numId w:val="2"/>
        </w:numPr>
        <w:spacing w:before="260" w:after="260" w:line="416" w:lineRule="auto"/>
        <w:ind w:firstLineChars="0"/>
        <w:outlineLvl w:val="1"/>
        <w:rPr>
          <w:rFonts w:asciiTheme="majorHAnsi" w:hAnsiTheme="majorHAnsi" w:eastAsiaTheme="majorEastAsia" w:cstheme="majorBidi"/>
          <w:b/>
          <w:bCs/>
          <w:vanish/>
          <w:sz w:val="32"/>
          <w:szCs w:val="32"/>
        </w:rPr>
      </w:pPr>
    </w:p>
    <w:p w14:paraId="6D06277A">
      <w:pPr>
        <w:pStyle w:val="3"/>
        <w:numPr>
          <w:ilvl w:val="1"/>
          <w:numId w:val="2"/>
        </w:numPr>
      </w:pPr>
      <w:r>
        <w:rPr>
          <w:rFonts w:hint="eastAsia"/>
        </w:rPr>
        <w:t>分班</w:t>
      </w:r>
    </w:p>
    <w:p w14:paraId="2025642A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</w:rPr>
        <w:t>在上图页面，可单个选择学生分班，也可选择多个学生进行分班，选择多个学生的前提是所选择的的学生转入的是同一个专业；同时院系还可以下载模板，导入进行分班。</w:t>
      </w:r>
    </w:p>
    <w:p w14:paraId="55806803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“分班”操作主要有下图几个内容需要填写：</w:t>
      </w:r>
    </w:p>
    <w:p w14:paraId="3A23233E">
      <w:pPr>
        <w:rPr>
          <w:rFonts w:ascii="Calibri" w:hAnsi="Calibri" w:eastAsia="宋体"/>
        </w:rPr>
      </w:pPr>
      <w:r>
        <w:drawing>
          <wp:inline distT="0" distB="0" distL="0" distR="0">
            <wp:extent cx="5274310" cy="2274570"/>
            <wp:effectExtent l="0" t="0" r="2540" b="11430"/>
            <wp:docPr id="3573089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08983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710BC76E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“转入专业方向”，可选择学生所申请的转入专业下的专业方向，也可不选择；</w:t>
      </w:r>
    </w:p>
    <w:p w14:paraId="6BEEB2DB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“转入班级”，可选择学生所申请的转入专业下的班级，必须选择；</w:t>
      </w:r>
    </w:p>
    <w:p w14:paraId="3F506AFA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“转入培养方案”，因为一旦学生的专业进行了变更，学生的培养方案也需要进行变更。</w:t>
      </w:r>
    </w:p>
    <w:p w14:paraId="0B24D68F">
      <w:pPr>
        <w:pStyle w:val="3"/>
        <w:numPr>
          <w:ilvl w:val="1"/>
          <w:numId w:val="2"/>
        </w:numPr>
      </w:pPr>
      <w:r>
        <w:rPr>
          <w:rFonts w:hint="eastAsia"/>
        </w:rPr>
        <w:t>提交</w:t>
      </w:r>
    </w:p>
    <w:p w14:paraId="1F47E858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</w:rPr>
        <w:t>分好班级和培养方案之后，还需要进行提交，提交到教务处，由教务处进行变更学籍</w:t>
      </w:r>
    </w:p>
    <w:p w14:paraId="24A93AE2">
      <w:pPr>
        <w:rPr>
          <w:rFonts w:asciiTheme="minorEastAsia" w:hAnsiTheme="minorEastAsia"/>
        </w:rPr>
      </w:pPr>
      <w:r>
        <w:rPr>
          <w:rFonts w:hint="eastAsia" w:asciiTheme="minorEastAsia" w:hAnsiTheme="minorEastAsia"/>
        </w:rPr>
        <w:t>操作。在提交之前，院系如果填写有误，还可以继续修改，一旦提交之后，将无法修改。</w:t>
      </w:r>
    </w:p>
    <w:p w14:paraId="5BE80489">
      <w:r>
        <w:drawing>
          <wp:inline distT="0" distB="0" distL="0" distR="0">
            <wp:extent cx="5274310" cy="2274570"/>
            <wp:effectExtent l="0" t="0" r="2540" b="11430"/>
            <wp:docPr id="14831697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169775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C715B">
      <w:pPr>
        <w:pStyle w:val="2"/>
        <w:numPr>
          <w:ilvl w:val="0"/>
          <w:numId w:val="1"/>
        </w:numPr>
        <w:ind w:left="425" w:hanging="425"/>
        <w:rPr>
          <w:rFonts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转专业志愿名单汇总查询</w:t>
      </w:r>
    </w:p>
    <w:p w14:paraId="4A0A2028">
      <w:pPr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</w:rPr>
        <w:t>该页面为教务处和院系提供查询功能，可查询出某个批次下所有申请了转专业的学生的志愿信息，可分为“根据转出专业查询”和“根据转入院系查询”两个页面：</w:t>
      </w:r>
    </w:p>
    <w:p w14:paraId="5BB1E7FE">
      <w:pPr>
        <w:rPr>
          <w:rFonts w:hint="eastAsia"/>
        </w:rPr>
      </w:pPr>
      <w:r>
        <w:drawing>
          <wp:inline distT="0" distB="0" distL="0" distR="0">
            <wp:extent cx="5274310" cy="2274570"/>
            <wp:effectExtent l="0" t="0" r="2540" b="1143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715C1">
      <w:pPr>
        <w:rPr>
          <w:rFonts w:ascii="微软雅黑" w:hAnsi="微软雅黑" w:eastAsia="微软雅黑"/>
        </w:rPr>
      </w:pPr>
    </w:p>
    <w:p w14:paraId="06BDE15F"/>
    <w:p w14:paraId="4A69BAA8"/>
    <w:p w14:paraId="27A9005D">
      <w:pPr>
        <w:tabs>
          <w:tab w:val="left" w:pos="651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734CB7"/>
    <w:multiLevelType w:val="singleLevel"/>
    <w:tmpl w:val="D1734CB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33B84EC5"/>
    <w:multiLevelType w:val="multilevel"/>
    <w:tmpl w:val="33B84EC5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39B21401"/>
    <w:multiLevelType w:val="multilevel"/>
    <w:tmpl w:val="39B21401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488C6504"/>
    <w:multiLevelType w:val="multilevel"/>
    <w:tmpl w:val="488C6504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62505BD1"/>
    <w:multiLevelType w:val="multilevel"/>
    <w:tmpl w:val="62505BD1"/>
    <w:lvl w:ilvl="0" w:tentative="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6CA707B0"/>
    <w:multiLevelType w:val="multilevel"/>
    <w:tmpl w:val="6CA707B0"/>
    <w:lvl w:ilvl="0" w:tentative="0">
      <w:start w:val="1"/>
      <w:numFmt w:val="decimal"/>
      <w:lvlText w:val="%1"/>
      <w:lvlJc w:val="left"/>
      <w:pPr>
        <w:ind w:left="432" w:hanging="432"/>
      </w:pPr>
    </w:lvl>
    <w:lvl w:ilvl="1" w:tentative="0">
      <w:start w:val="1"/>
      <w:numFmt w:val="decimal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N2YzMzE3ODQwZTEwNzYwMzVmM2M2MGQxMjE2NzIifQ=="/>
  </w:docVars>
  <w:rsids>
    <w:rsidRoot w:val="22166F7A"/>
    <w:rsid w:val="22166F7A"/>
    <w:rsid w:val="643445E8"/>
    <w:rsid w:val="6DC0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5" Type="http://schemas.openxmlformats.org/officeDocument/2006/relationships/fontTable" Target="fontTable.xml"/><Relationship Id="rId34" Type="http://schemas.openxmlformats.org/officeDocument/2006/relationships/numbering" Target="numbering.xml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330</Words>
  <Characters>379</Characters>
  <Lines>0</Lines>
  <Paragraphs>0</Paragraphs>
  <TotalTime>0</TotalTime>
  <ScaleCrop>false</ScaleCrop>
  <LinksUpToDate>false</LinksUpToDate>
  <CharactersWithSpaces>384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2024-12-31T01:35:00Z</dcterms:created>
  <dc:creator>猴玲</dc:creator>
  <cp:lastModifiedBy>技师学院曾</cp:lastModifiedBy>
  <dcterms:modified xsi:type="dcterms:W3CDTF">2025-01-13T06:42:39Z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A4EFDD479DB247079B52FB489E568742_13</vt:lpwstr>
  </property>
  <property fmtid="{D5CDD505-2E9C-101B-9397-08002B2CF9AE}" pid="4" name="KSOTemplateDocerSaveRecord">
    <vt:lpwstr>eyJoZGlkIjoiYjBiZTU2NjUzZDMyOTM3NjAyNDJlYzkwYjlmZWVkYjYiLCJ1c2VySWQiOiI2ODQyMzgyNDIifQ==</vt:lpwstr>
  </property>
</Properties>
</file>